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E3FDE0">
      <w:pPr>
        <w:spacing w:before="80" w:after="150" w:line="326" w:lineRule="auto"/>
      </w:pPr>
      <w:r>
        <w:rPr>
          <w:rFonts w:ascii="Calibri" w:hAnsi="Calibri" w:eastAsia="微软雅黑"/>
          <w:b/>
          <w:color w:val="2E74B5"/>
          <w:sz w:val="19"/>
        </w:rPr>
        <w:t>阶段性研究汇报 · 2026.07</w:t>
      </w:r>
    </w:p>
    <w:p w14:paraId="752745F0">
      <w:pPr>
        <w:spacing w:after="150" w:line="326" w:lineRule="auto"/>
      </w:pPr>
      <w:r>
        <w:rPr>
          <w:rFonts w:ascii="Calibri" w:hAnsi="Calibri" w:eastAsia="微软雅黑"/>
          <w:b/>
          <w:color w:val="17365D"/>
          <w:sz w:val="50"/>
        </w:rPr>
        <w:t>GeoBWER：从尾部差异指标到 GeoFM 公平性审计框架</w:t>
      </w:r>
    </w:p>
    <w:p w14:paraId="68DC93C8">
      <w:pPr>
        <w:spacing w:after="150" w:line="326" w:lineRule="auto"/>
      </w:pPr>
      <w:r>
        <w:rPr>
          <w:rFonts w:ascii="Calibri" w:hAnsi="Calibri" w:eastAsia="微软雅黑"/>
          <w:color w:val="5F6B78"/>
          <w:sz w:val="25"/>
        </w:rPr>
        <w:t>BWER1.0 之后的方法重构、实验矩阵扩展，以及 AlphaEarth 与 Conformal 的加入</w:t>
      </w:r>
    </w:p>
    <w:p w14:paraId="2305040D">
      <w:pPr>
        <w:pBdr>
          <w:bottom w:val="single" w:color="2E74B5" w:sz="12" w:space="1"/>
        </w:pBdr>
        <w:spacing w:after="240"/>
      </w:pPr>
    </w:p>
    <w:p w14:paraId="0A87C400">
      <w:pPr>
        <w:pStyle w:val="3"/>
      </w:pPr>
      <w:r>
        <w:t>本次升级的核心结论</w:t>
      </w:r>
    </w:p>
    <w:p w14:paraId="110B66D0">
      <w:pPr>
        <w:spacing w:after="150" w:line="326" w:lineRule="auto"/>
        <w:jc w:val="both"/>
      </w:pPr>
      <w:r>
        <w:rPr>
          <w:rFonts w:ascii="Calibri" w:hAnsi="Calibri" w:eastAsia="微软雅黑"/>
          <w:color w:val="202A35"/>
          <w:sz w:val="22"/>
        </w:rPr>
        <w:t>项目最初的问题没有改变：GeoFM 的平均性能可能很好，但某些灾害事件、国家、类别或传感器条件可能承担明显更高的失败风险。BWER1 已经证明这种“平均值掩盖尾部”的现象值得研究；当前工作不是另起炉灶，而是把这个直觉升级为定义更精确、比较更公平、能够报告统计证据强弱的 GeoBWER。</w:t>
      </w:r>
    </w:p>
    <w:p w14:paraId="7E4AF95B">
      <w:pPr>
        <w:spacing w:after="150" w:line="326" w:lineRule="auto"/>
        <w:jc w:val="both"/>
      </w:pPr>
      <w:r>
        <w:rPr>
          <w:rFonts w:ascii="Calibri" w:hAnsi="Calibri" w:eastAsia="微软雅黑"/>
          <w:color w:val="202A35"/>
          <w:sz w:val="22"/>
        </w:rPr>
        <w:t>上次汇报以后，工作新增了两条此前尚未完整呈现的证据线。第一条是 AlphaEarth 全球土地覆盖审计，它把项目扩展到 111 个国家、空间块划分和参考地图歧义；第二条是 Conformal Prediction / Conformal Risk Control，它不再只问模型“答得对不对”，还问模型给出的不确定性承诺是否在不同部署切片上被同等兑现。</w:t>
      </w:r>
    </w:p>
    <w:p w14:paraId="71D97D83">
      <w:pPr>
        <w:pBdr>
          <w:left w:val="single" w:color="2E74B5" w:sz="16" w:space="7"/>
        </w:pBdr>
        <w:shd w:val="clear" w:fill="F5F8FB"/>
        <w:spacing w:before="60" w:after="160" w:line="307" w:lineRule="auto"/>
        <w:ind w:left="144" w:right="58"/>
      </w:pPr>
      <w:r>
        <w:rPr>
          <w:rFonts w:ascii="Calibri" w:hAnsi="Calibri" w:eastAsia="微软雅黑"/>
          <w:b/>
          <w:color w:val="17365D"/>
          <w:sz w:val="21"/>
        </w:rPr>
        <w:t xml:space="preserve">最简化的理解： </w:t>
      </w:r>
      <w:r>
        <w:rPr>
          <w:rFonts w:ascii="Calibri" w:hAnsi="Calibri" w:eastAsia="微软雅黑"/>
          <w:color w:val="202A35"/>
          <w:sz w:val="21"/>
        </w:rPr>
        <w:t>BWER1 像一把能够发现问题的尺子；GeoBWER 保留同一刻度含义，但补上了精确尾部、部署权重、支持量、共同支持比较、空间依赖区间和无效状态，因此更接近可被其他 GeoFM 研究复用的正式测评协议。</w:t>
      </w:r>
    </w:p>
    <w:p w14:paraId="2FDF061A">
      <w:pPr>
        <w:pStyle w:val="4"/>
      </w:pPr>
      <w:r>
        <w:t>目前项目由三个层次组成</w:t>
      </w:r>
    </w:p>
    <w:p w14:paraId="34802268">
      <w:pPr>
        <w:pStyle w:val="16"/>
        <w:spacing w:after="150" w:line="326" w:lineRule="auto"/>
        <w:ind w:left="547" w:hanging="274"/>
      </w:pPr>
      <w:r>
        <w:rPr>
          <w:rFonts w:ascii="Calibri" w:hAnsi="Calibri" w:eastAsia="微软雅黑"/>
          <w:color w:val="202A35"/>
          <w:sz w:val="21"/>
        </w:rPr>
        <w:t>一个核心风险泛函：GeoBWER = 尾部部署风险 − 平均部署风险。</w:t>
      </w:r>
    </w:p>
    <w:p w14:paraId="03FACFD4">
      <w:pPr>
        <w:pStyle w:val="16"/>
        <w:spacing w:after="150" w:line="326" w:lineRule="auto"/>
        <w:ind w:left="547" w:hanging="274"/>
      </w:pPr>
      <w:r>
        <w:rPr>
          <w:rFonts w:ascii="Calibri" w:hAnsi="Calibri" w:eastAsia="微软雅黑"/>
          <w:color w:val="202A35"/>
          <w:sz w:val="21"/>
        </w:rPr>
        <w:t>一个任务无关审计协议：Raw、Standardised、Selective、Conformal/CRC 都进入同一泛函。</w:t>
      </w:r>
    </w:p>
    <w:p w14:paraId="0BE0F77E">
      <w:pPr>
        <w:pStyle w:val="16"/>
        <w:spacing w:after="150" w:line="326" w:lineRule="auto"/>
        <w:ind w:left="547" w:hanging="274"/>
      </w:pPr>
      <w:r>
        <w:rPr>
          <w:rFonts w:ascii="Calibri" w:hAnsi="Calibri" w:eastAsia="微软雅黑"/>
          <w:color w:val="202A35"/>
          <w:sz w:val="21"/>
        </w:rPr>
        <w:t>一个四任务验证套件：事件、地理、传感器模态和全球地图协议分别承担不同证据角色。</w:t>
      </w:r>
    </w:p>
    <w:p w14:paraId="715F26CA">
      <w:r>
        <w:br w:type="page"/>
      </w:r>
    </w:p>
    <w:p w14:paraId="5CBD5EC0">
      <w:pPr>
        <w:pStyle w:val="3"/>
      </w:pPr>
      <w:r>
        <w:t>1. 实验矩阵发生了什</w:t>
      </w:r>
      <w:r>
        <w:rPr>
          <w:rFonts w:hint="eastAsia" w:eastAsia="宋体"/>
          <w:lang w:val="en-US" w:eastAsia="zh-CN"/>
        </w:rPr>
        <w:t>么</w:t>
      </w:r>
      <w:r>
        <w:t>变化</w:t>
      </w:r>
    </w:p>
    <w:p w14:paraId="11E84BEE">
      <w:pPr>
        <w:spacing w:after="150" w:line="326" w:lineRule="auto"/>
        <w:jc w:val="both"/>
      </w:pPr>
      <w:r>
        <w:rPr>
          <w:rFonts w:ascii="Calibri" w:hAnsi="Calibri" w:eastAsia="微软雅黑"/>
          <w:color w:val="202A35"/>
          <w:sz w:val="22"/>
        </w:rPr>
        <w:t>BWER1 阶段已经覆盖洪水分割、地理不相交分类和多模态多标签分类，但一些比较仍是“协议感知的并列结果”：模型可能使用不同波段、不同划分或不同训练预算，因此可以说明部署风险存在，却不一定能把差异归因于基础模型本身。当前矩阵的重点不是简单增加模型数量，而是为每个关键任务建立同 split、同输入条件、多个随机种子的主比较，同时把任务专用强模型保留为外部有效性参考。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2376"/>
        <w:gridCol w:w="3384"/>
        <w:gridCol w:w="2088"/>
      </w:tblGrid>
      <w:tr w14:paraId="4506A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12" w:type="dxa"/>
            <w:shd w:val="clear" w:color="auto" w:fill="EAF2F8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01712DDF">
            <w:pPr>
              <w:spacing w:after="0" w:line="283" w:lineRule="auto"/>
              <w:jc w:val="center"/>
            </w:pPr>
            <w:r>
              <w:rPr>
                <w:rFonts w:ascii="Calibri" w:hAnsi="Calibri" w:eastAsia="微软雅黑"/>
                <w:b/>
                <w:color w:val="17365D"/>
                <w:sz w:val="16"/>
              </w:rPr>
              <w:t>任务</w:t>
            </w:r>
          </w:p>
        </w:tc>
        <w:tc>
          <w:tcPr>
            <w:tcW w:w="2376" w:type="dxa"/>
            <w:shd w:val="clear" w:color="auto" w:fill="EAF2F8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0EE5AAE9">
            <w:pPr>
              <w:spacing w:after="0" w:line="283" w:lineRule="auto"/>
              <w:jc w:val="center"/>
            </w:pPr>
            <w:r>
              <w:rPr>
                <w:rFonts w:ascii="Calibri" w:hAnsi="Calibri" w:eastAsia="微软雅黑"/>
                <w:b/>
                <w:color w:val="17365D"/>
                <w:sz w:val="16"/>
              </w:rPr>
              <w:t>BWER1 阶段</w:t>
            </w:r>
          </w:p>
        </w:tc>
        <w:tc>
          <w:tcPr>
            <w:tcW w:w="3384" w:type="dxa"/>
            <w:shd w:val="clear" w:color="auto" w:fill="EAF2F8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3C9395BD">
            <w:pPr>
              <w:spacing w:after="0" w:line="283" w:lineRule="auto"/>
              <w:jc w:val="center"/>
            </w:pPr>
            <w:r>
              <w:rPr>
                <w:rFonts w:ascii="Calibri" w:hAnsi="Calibri" w:eastAsia="微软雅黑"/>
                <w:b/>
                <w:color w:val="17365D"/>
                <w:sz w:val="16"/>
              </w:rPr>
              <w:t>当前正式矩阵</w:t>
            </w:r>
          </w:p>
        </w:tc>
        <w:tc>
          <w:tcPr>
            <w:tcW w:w="2088" w:type="dxa"/>
            <w:shd w:val="clear" w:color="auto" w:fill="EAF2F8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6B6C934C">
            <w:pPr>
              <w:spacing w:after="0" w:line="283" w:lineRule="auto"/>
              <w:jc w:val="center"/>
            </w:pPr>
            <w:r>
              <w:rPr>
                <w:rFonts w:ascii="Calibri" w:hAnsi="Calibri" w:eastAsia="微软雅黑"/>
                <w:b/>
                <w:color w:val="17365D"/>
                <w:sz w:val="16"/>
              </w:rPr>
              <w:t>升级意义</w:t>
            </w:r>
          </w:p>
        </w:tc>
      </w:tr>
      <w:tr w14:paraId="2089B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399B292C">
            <w:pPr>
              <w:spacing w:after="0" w:line="283" w:lineRule="auto"/>
            </w:pPr>
            <w:r>
              <w:rPr>
                <w:rFonts w:ascii="Calibri" w:hAnsi="Calibri" w:eastAsia="微软雅黑"/>
                <w:b/>
                <w:color w:val="17365D"/>
                <w:sz w:val="16"/>
              </w:rPr>
              <w:t>Sen1Floods11</w:t>
            </w:r>
            <w:r>
              <w:rPr>
                <w:rFonts w:ascii="Calibri" w:hAnsi="Calibri" w:eastAsia="微软雅黑"/>
                <w:b/>
                <w:color w:val="17365D"/>
                <w:sz w:val="16"/>
              </w:rPr>
              <w:br w:type="textWrapping"/>
            </w:r>
            <w:r>
              <w:rPr>
                <w:rFonts w:ascii="Calibri" w:hAnsi="Calibri" w:eastAsia="微软雅黑"/>
                <w:b/>
                <w:color w:val="17365D"/>
                <w:sz w:val="16"/>
              </w:rPr>
              <w:t>洪水分割</w:t>
            </w:r>
          </w:p>
        </w:tc>
        <w:tc>
          <w:tcPr>
            <w:tcW w:w="2376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7B12FB9D">
            <w:pPr>
              <w:spacing w:after="0" w:line="283" w:lineRule="auto"/>
            </w:pPr>
            <w:r>
              <w:rPr>
                <w:rFonts w:ascii="Calibri" w:hAnsi="Calibri" w:eastAsia="微软雅黑"/>
                <w:b w:val="0"/>
                <w:color w:val="202A35"/>
                <w:sz w:val="16"/>
              </w:rPr>
              <w:t>Prithvi TL、U-Net、ResNet34-U-Net；以 S2 和事件级分析为主。</w:t>
            </w:r>
          </w:p>
        </w:tc>
        <w:tc>
          <w:tcPr>
            <w:tcW w:w="3384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6C0F9E98">
            <w:pPr>
              <w:spacing w:after="0" w:line="283" w:lineRule="auto"/>
            </w:pPr>
            <w:r>
              <w:rPr>
                <w:rFonts w:ascii="Calibri" w:hAnsi="Calibri" w:eastAsia="微软雅黑"/>
                <w:b w:val="0"/>
                <w:color w:val="202A35"/>
                <w:sz w:val="16"/>
              </w:rPr>
              <w:t>TerraMind 与 ResNet34-U-Net 均运行 S1、S2、S1+S2 和 3 seeds；Prithvi TL 为外部强参考。</w:t>
            </w:r>
          </w:p>
        </w:tc>
        <w:tc>
          <w:tcPr>
            <w:tcW w:w="2088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6CF73FEE">
            <w:pPr>
              <w:spacing w:after="0" w:line="283" w:lineRule="auto"/>
            </w:pPr>
            <w:r>
              <w:rPr>
                <w:rFonts w:ascii="Calibri" w:hAnsi="Calibri" w:eastAsia="微软雅黑"/>
                <w:b w:val="0"/>
                <w:color w:val="202A35"/>
                <w:sz w:val="16"/>
              </w:rPr>
              <w:t>把事件尾部风险与传感器模态机制连接起来；主比较共享官方 split。</w:t>
            </w:r>
          </w:p>
        </w:tc>
      </w:tr>
      <w:tr w14:paraId="1E4AC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shd w:val="clear" w:color="auto" w:fill="FAFBFC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51041C08">
            <w:pPr>
              <w:spacing w:after="0" w:line="283" w:lineRule="auto"/>
            </w:pPr>
            <w:r>
              <w:rPr>
                <w:rFonts w:ascii="Calibri" w:hAnsi="Calibri" w:eastAsia="微软雅黑"/>
                <w:b/>
                <w:color w:val="17365D"/>
                <w:sz w:val="16"/>
              </w:rPr>
              <w:t>fMoW-Sentinel</w:t>
            </w:r>
            <w:r>
              <w:rPr>
                <w:rFonts w:ascii="Calibri" w:hAnsi="Calibri" w:eastAsia="微软雅黑"/>
                <w:b/>
                <w:color w:val="17365D"/>
                <w:sz w:val="16"/>
              </w:rPr>
              <w:br w:type="textWrapping"/>
            </w:r>
            <w:r>
              <w:rPr>
                <w:rFonts w:ascii="Calibri" w:hAnsi="Calibri" w:eastAsia="微软雅黑"/>
                <w:b/>
                <w:color w:val="17365D"/>
                <w:sz w:val="16"/>
              </w:rPr>
              <w:t>单标签分类</w:t>
            </w:r>
          </w:p>
        </w:tc>
        <w:tc>
          <w:tcPr>
            <w:tcW w:w="2376" w:type="dxa"/>
            <w:shd w:val="clear" w:color="auto" w:fill="FAFBFC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7C6142B9">
            <w:pPr>
              <w:spacing w:after="0" w:line="283" w:lineRule="auto"/>
            </w:pPr>
            <w:r>
              <w:rPr>
                <w:rFonts w:ascii="Calibri" w:hAnsi="Calibri" w:eastAsia="微软雅黑"/>
                <w:b w:val="0"/>
                <w:color w:val="202A35"/>
                <w:sz w:val="16"/>
              </w:rPr>
              <w:t>DOFA 与 13-band ResNet-50；位置不相交，但输入与训练协议并不完全对齐。</w:t>
            </w:r>
          </w:p>
        </w:tc>
        <w:tc>
          <w:tcPr>
            <w:tcW w:w="3384" w:type="dxa"/>
            <w:shd w:val="clear" w:color="auto" w:fill="FAFBFC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708FFB84">
            <w:pPr>
              <w:spacing w:after="0" w:line="283" w:lineRule="auto"/>
            </w:pPr>
            <w:r>
              <w:rPr>
                <w:rFonts w:ascii="Calibri" w:hAnsi="Calibri" w:eastAsia="微软雅黑"/>
                <w:b w:val="0"/>
                <w:color w:val="202A35"/>
                <w:sz w:val="16"/>
              </w:rPr>
              <w:t>DOFAv2 与 common-9-band ResNet-50，各 3 seeds；保存完整 62 维概率。</w:t>
            </w:r>
          </w:p>
        </w:tc>
        <w:tc>
          <w:tcPr>
            <w:tcW w:w="2088" w:type="dxa"/>
            <w:shd w:val="clear" w:color="auto" w:fill="FAFBFC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75AE596E">
            <w:pPr>
              <w:spacing w:after="0" w:line="283" w:lineRule="auto"/>
            </w:pPr>
            <w:r>
              <w:rPr>
                <w:rFonts w:ascii="Calibri" w:hAnsi="Calibri" w:eastAsia="微软雅黑"/>
                <w:b w:val="0"/>
                <w:color w:val="202A35"/>
                <w:sz w:val="16"/>
              </w:rPr>
              <w:t>可以做共同支持配对比较、排名反转检验和正式 prediction sets。</w:t>
            </w:r>
          </w:p>
        </w:tc>
      </w:tr>
      <w:tr w14:paraId="2B26F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6273CCC4">
            <w:pPr>
              <w:spacing w:after="0" w:line="283" w:lineRule="auto"/>
            </w:pPr>
            <w:r>
              <w:rPr>
                <w:rFonts w:ascii="Calibri" w:hAnsi="Calibri" w:eastAsia="微软雅黑"/>
                <w:b/>
                <w:color w:val="17365D"/>
                <w:sz w:val="16"/>
              </w:rPr>
              <w:t>reBEN</w:t>
            </w:r>
            <w:r>
              <w:rPr>
                <w:rFonts w:ascii="Calibri" w:hAnsi="Calibri" w:eastAsia="微软雅黑"/>
                <w:b/>
                <w:color w:val="17365D"/>
                <w:sz w:val="16"/>
              </w:rPr>
              <w:br w:type="textWrapping"/>
            </w:r>
            <w:r>
              <w:rPr>
                <w:rFonts w:ascii="Calibri" w:hAnsi="Calibri" w:eastAsia="微软雅黑"/>
                <w:b/>
                <w:color w:val="17365D"/>
                <w:sz w:val="16"/>
              </w:rPr>
              <w:t>多标签分类</w:t>
            </w:r>
          </w:p>
        </w:tc>
        <w:tc>
          <w:tcPr>
            <w:tcW w:w="2376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4A502DD9">
            <w:pPr>
              <w:spacing w:after="0" w:line="283" w:lineRule="auto"/>
            </w:pPr>
            <w:r>
              <w:rPr>
                <w:rFonts w:ascii="Calibri" w:hAnsi="Calibri" w:eastAsia="微软雅黑"/>
                <w:b w:val="0"/>
                <w:color w:val="202A35"/>
                <w:sz w:val="16"/>
              </w:rPr>
              <w:t>CROMA × S1/S2/S1+S2，主要考察模态差异。</w:t>
            </w:r>
          </w:p>
        </w:tc>
        <w:tc>
          <w:tcPr>
            <w:tcW w:w="3384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5964CA17">
            <w:pPr>
              <w:spacing w:after="0" w:line="283" w:lineRule="auto"/>
            </w:pPr>
            <w:r>
              <w:rPr>
                <w:rFonts w:ascii="Calibri" w:hAnsi="Calibri" w:eastAsia="微软雅黑"/>
                <w:b w:val="0"/>
                <w:color w:val="202A35"/>
                <w:sz w:val="16"/>
              </w:rPr>
              <w:t>CROMA、TerraMind、supervised ResNet-50 × 三种模态 × 3 seeds。</w:t>
            </w:r>
          </w:p>
        </w:tc>
        <w:tc>
          <w:tcPr>
            <w:tcW w:w="2088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15DAF7BF">
            <w:pPr>
              <w:spacing w:after="0" w:line="283" w:lineRule="auto"/>
            </w:pPr>
            <w:r>
              <w:rPr>
                <w:rFonts w:ascii="Calibri" w:hAnsi="Calibri" w:eastAsia="微软雅黑"/>
                <w:b w:val="0"/>
                <w:color w:val="202A35"/>
                <w:sz w:val="16"/>
              </w:rPr>
              <w:t>形成架构×模态因子面板，判断融合收益能否跨架构复现。</w:t>
            </w:r>
          </w:p>
        </w:tc>
      </w:tr>
      <w:tr w14:paraId="24620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shd w:val="clear" w:color="auto" w:fill="FAFBFC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05D68B04">
            <w:pPr>
              <w:spacing w:after="0" w:line="283" w:lineRule="auto"/>
            </w:pPr>
            <w:r>
              <w:rPr>
                <w:rFonts w:ascii="Calibri" w:hAnsi="Calibri" w:eastAsia="微软雅黑"/>
                <w:b/>
                <w:color w:val="17365D"/>
                <w:sz w:val="16"/>
              </w:rPr>
              <w:t>AlphaEarth</w:t>
            </w:r>
            <w:r>
              <w:rPr>
                <w:rFonts w:ascii="Calibri" w:hAnsi="Calibri" w:eastAsia="微软雅黑"/>
                <w:b/>
                <w:color w:val="17365D"/>
                <w:sz w:val="16"/>
              </w:rPr>
              <w:br w:type="textWrapping"/>
            </w:r>
            <w:r>
              <w:rPr>
                <w:rFonts w:ascii="Calibri" w:hAnsi="Calibri" w:eastAsia="微软雅黑"/>
                <w:b/>
                <w:color w:val="17365D"/>
                <w:sz w:val="16"/>
              </w:rPr>
              <w:t>全球土地覆盖</w:t>
            </w:r>
          </w:p>
        </w:tc>
        <w:tc>
          <w:tcPr>
            <w:tcW w:w="2376" w:type="dxa"/>
            <w:shd w:val="clear" w:color="auto" w:fill="FAFBFC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600EFB41">
            <w:pPr>
              <w:spacing w:after="0" w:line="283" w:lineRule="auto"/>
            </w:pPr>
            <w:r>
              <w:rPr>
                <w:rFonts w:ascii="Calibri" w:hAnsi="Calibri" w:eastAsia="微软雅黑"/>
                <w:b w:val="0"/>
                <w:color w:val="202A35"/>
                <w:sz w:val="16"/>
              </w:rPr>
              <w:t>上次汇报尚未纳入。</w:t>
            </w:r>
          </w:p>
        </w:tc>
        <w:tc>
          <w:tcPr>
            <w:tcW w:w="3384" w:type="dxa"/>
            <w:shd w:val="clear" w:color="auto" w:fill="FAFBFC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73090C41">
            <w:pPr>
              <w:spacing w:after="0" w:line="283" w:lineRule="auto"/>
            </w:pPr>
            <w:r>
              <w:rPr>
                <w:rFonts w:ascii="Calibri" w:hAnsi="Calibri" w:eastAsia="微软雅黑"/>
                <w:b w:val="0"/>
                <w:color w:val="202A35"/>
                <w:sz w:val="16"/>
              </w:rPr>
              <w:t>AlphaEarth embeddings + ML/probe；WorldCover、Dynamic World、空间块及国家×类别切片。</w:t>
            </w:r>
          </w:p>
        </w:tc>
        <w:tc>
          <w:tcPr>
            <w:tcW w:w="2088" w:type="dxa"/>
            <w:shd w:val="clear" w:color="auto" w:fill="FAFBFC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3BE73B13">
            <w:pPr>
              <w:spacing w:after="0" w:line="283" w:lineRule="auto"/>
            </w:pPr>
            <w:r>
              <w:rPr>
                <w:rFonts w:ascii="Calibri" w:hAnsi="Calibri" w:eastAsia="微软雅黑"/>
                <w:b w:val="0"/>
                <w:color w:val="202A35"/>
                <w:sz w:val="16"/>
              </w:rPr>
              <w:t>补齐全球尺度、参考图歧义、空间转移、尺度敏感性和 coverage debt。</w:t>
            </w:r>
          </w:p>
        </w:tc>
      </w:tr>
    </w:tbl>
    <w:p w14:paraId="2D88C1FB">
      <w:pPr>
        <w:spacing w:after="40"/>
      </w:pPr>
    </w:p>
    <w:p w14:paraId="7130EB41">
      <w:pPr>
        <w:spacing w:after="150" w:line="326" w:lineRule="auto"/>
        <w:jc w:val="both"/>
      </w:pPr>
      <w:r>
        <w:rPr>
          <w:rFonts w:ascii="Calibri" w:hAnsi="Calibri" w:eastAsia="微软雅黑"/>
          <w:color w:val="202A35"/>
          <w:sz w:val="22"/>
        </w:rPr>
        <w:t>例如，旧的 Sen1 结果中 Prithvi TL 与 U-Net 都显示 Bolivia 或 Pakistan 可能成为尾部事件，但模型并不共享完全相同的训练与测试协议。新版让 TerraMind 与监督 U-Net 在同一官方划分和同一 S1/S2/融合条件下比较；如果尾部事件仍重复出现，证据更接近“数据与事件机制”，而不是“某一次模型配置偶然失败”。</w:t>
      </w:r>
    </w:p>
    <w:p w14:paraId="4161DF9F">
      <w:pPr>
        <w:pBdr>
          <w:left w:val="single" w:color="2E74B5" w:sz="16" w:space="7"/>
        </w:pBdr>
        <w:shd w:val="clear" w:fill="F5F8FB"/>
        <w:spacing w:before="60" w:after="160" w:line="307" w:lineRule="auto"/>
        <w:ind w:left="144" w:right="58"/>
      </w:pPr>
      <w:r>
        <w:rPr>
          <w:rFonts w:ascii="Calibri" w:hAnsi="Calibri" w:eastAsia="微软雅黑"/>
          <w:b/>
          <w:color w:val="17365D"/>
          <w:sz w:val="21"/>
        </w:rPr>
        <w:t xml:space="preserve">为什么没有继续堆第五个任务： </w:t>
      </w:r>
      <w:r>
        <w:rPr>
          <w:rFonts w:ascii="Calibri" w:hAnsi="Calibri" w:eastAsia="微软雅黑"/>
          <w:color w:val="202A35"/>
          <w:sz w:val="21"/>
        </w:rPr>
        <w:t>现有四任务已经覆盖单标签、多标签、分割与全球地图产品，也覆盖事件、国家、类别、模态和空间块。当前论文最缺的是同协议和可认证证据，而不是更多横向案例。</w:t>
      </w:r>
    </w:p>
    <w:p w14:paraId="11711C6A">
      <w:r>
        <w:br w:type="page"/>
      </w:r>
    </w:p>
    <w:p w14:paraId="5F4E6E23">
      <w:pPr>
        <w:pStyle w:val="3"/>
      </w:pPr>
      <w:r>
        <w:t>2. BWER1 与 GeoBWER：同一个问题，更精确的定义</w:t>
      </w:r>
    </w:p>
    <w:p w14:paraId="42F383F5">
      <w:pPr>
        <w:spacing w:after="100"/>
        <w:jc w:val="center"/>
      </w:pPr>
      <w:r>
        <w:drawing>
          <wp:inline distT="0" distB="0" distL="114300" distR="114300">
            <wp:extent cx="5806440" cy="2889250"/>
            <wp:effectExtent l="0" t="0" r="0" b="6350"/>
            <wp:docPr id="1" name="Picture 1" descr="BWER1与GeoBWER从共同核心问题分支的概念图。" title="BWER1与GeoBWER核心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BWER1与GeoBWER从共同核心问题分支的概念图。" title="BWER1与GeoBWER核心对比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8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F3A3F">
      <w:pPr>
        <w:pStyle w:val="4"/>
      </w:pPr>
      <w:r>
        <w:t>两个公式</w:t>
      </w:r>
    </w:p>
    <w:p w14:paraId="018F9730">
      <w:pPr>
        <w:pBdr>
          <w:left w:val="single" w:color="5B9BD5" w:sz="16" w:space="7"/>
        </w:pBdr>
        <w:shd w:val="clear" w:fill="EAF2F8"/>
        <w:spacing w:before="60" w:after="160" w:line="307" w:lineRule="auto"/>
        <w:jc w:val="center"/>
      </w:pPr>
      <w:r>
        <w:rPr>
          <w:rFonts w:ascii="Cambria Math" w:hAnsi="Cambria Math" w:eastAsia="微软雅黑"/>
          <w:color w:val="17365D"/>
          <w:sz w:val="24"/>
        </w:rPr>
        <w:t>BWER1β = 最差 k 个完整切片的平均风险 − 所有切片平均风险，k = ⌈βG⌉</w:t>
      </w:r>
      <w:r>
        <w:br w:type="textWrapping"/>
      </w:r>
      <w:r>
        <w:rPr>
          <w:rFonts w:ascii="Cambria Math" w:hAnsi="Cambria Math" w:eastAsia="微软雅黑"/>
          <w:color w:val="17365D"/>
          <w:sz w:val="24"/>
        </w:rPr>
        <w:t>GeoBWERβ,μ = Tβ,μ(R) − Σg μgRg</w:t>
      </w:r>
    </w:p>
    <w:p w14:paraId="1BE896BC">
      <w:pPr>
        <w:spacing w:after="150" w:line="326" w:lineRule="auto"/>
        <w:jc w:val="both"/>
      </w:pPr>
      <w:r>
        <w:rPr>
          <w:rFonts w:ascii="Calibri" w:hAnsi="Calibri" w:eastAsia="微软雅黑"/>
          <w:color w:val="202A35"/>
          <w:sz w:val="22"/>
        </w:rPr>
        <w:t>GeoBWER 中，Tβ,μ(R) 表示审计测度 μ 下最差 β 部署质量的平均风险。μ 明确规定“每个国家等权”“按实际样本质量加权”或“按外部部署暴露量加权”；β 则规定要审计最差的多少部署质量。这样，分数不再依赖一句没有写清楚的“各组平均”。</w:t>
      </w:r>
    </w:p>
    <w:p w14:paraId="38525237">
      <w:pPr>
        <w:pStyle w:val="4"/>
      </w:pPr>
      <w:r>
        <w:t>一个最直观的例子：11 个洪水事件，β=10%</w:t>
      </w:r>
    </w:p>
    <w:p w14:paraId="7A2651F3">
      <w:pPr>
        <w:spacing w:after="150" w:line="326" w:lineRule="auto"/>
        <w:jc w:val="both"/>
      </w:pPr>
      <w:r>
        <w:rPr>
          <w:rFonts w:ascii="Calibri" w:hAnsi="Calibri" w:eastAsia="微软雅黑"/>
          <w:color w:val="202A35"/>
          <w:sz w:val="22"/>
        </w:rPr>
        <w:t>如果 11 个事件等权，每个事件占 9.09%。BWER1 计算 ⌈0.10×11⌉=2，因此会把两个完整事件都放进尾部，实际审计 18.18% 的事件质量。GeoBWER 会取最差事件的全部 9.09%，再只取第二差事件的 0.91%，正好组成 10%。这解决了切片数较少时“10% 实际变成接近 20%”的问题。</w:t>
      </w:r>
    </w:p>
    <w:p w14:paraId="7ABC64C0">
      <w:pPr>
        <w:pBdr>
          <w:left w:val="single" w:color="2E74B5" w:sz="16" w:space="7"/>
        </w:pBdr>
        <w:shd w:val="clear" w:fill="F5F8FB"/>
        <w:spacing w:before="60" w:after="160" w:line="307" w:lineRule="auto"/>
        <w:ind w:left="144" w:right="58"/>
      </w:pPr>
      <w:r>
        <w:rPr>
          <w:rFonts w:ascii="Calibri" w:hAnsi="Calibri" w:eastAsia="微软雅黑"/>
          <w:b/>
          <w:color w:val="17365D"/>
          <w:sz w:val="21"/>
        </w:rPr>
        <w:t xml:space="preserve">为什么有时两个版本数值仍然很接近： </w:t>
      </w:r>
      <w:r>
        <w:rPr>
          <w:rFonts w:ascii="Calibri" w:hAnsi="Calibri" w:eastAsia="微软雅黑"/>
          <w:color w:val="202A35"/>
          <w:sz w:val="21"/>
        </w:rPr>
        <w:t>当切片等权且 β=k/G 恰好为整数比例时，GeoBWER 与 BWER1 数学上完全相同；fMoW 国家数很多时，临界切片只占很小质量，两者也可能近似。升级的目标是定义和证据更可靠，不是人为制造更大的分数。</w:t>
      </w:r>
    </w:p>
    <w:p w14:paraId="2AA40780">
      <w:r>
        <w:br w:type="page"/>
      </w:r>
    </w:p>
    <w:p w14:paraId="55838227">
      <w:pPr>
        <w:pStyle w:val="3"/>
      </w:pPr>
      <w:r>
        <w:t>3. BWER1 的四个隐蔽漏洞，以及新版如何修复</w:t>
      </w:r>
    </w:p>
    <w:p w14:paraId="02FC05D9">
      <w:pPr>
        <w:pStyle w:val="4"/>
      </w:pPr>
      <w:r>
        <w:t>漏洞一：最差切片可能只是样本少，所以碰巧很差</w:t>
      </w:r>
    </w:p>
    <w:p w14:paraId="7EF63D63">
      <w:pPr>
        <w:spacing w:after="150" w:line="326" w:lineRule="auto"/>
        <w:jc w:val="both"/>
      </w:pPr>
      <w:r>
        <w:rPr>
          <w:rFonts w:ascii="Calibri" w:hAnsi="Calibri" w:eastAsia="微软雅黑"/>
          <w:color w:val="202A35"/>
          <w:sz w:val="22"/>
        </w:rPr>
        <w:t>假设国家 A 有 1,000 个测试样本，错误率 20%；国家 B 只有 5 个样本，其中 3 个预测错误，表面错误率是 60%。BWER1 很容易把 B 放入尾部，但 60% 可能主要是小样本波动。GeoBWER 并不简单删除 B，而是同时检查样本支持、独立 cluster 数、尾部成员稳定性，并用 cluster/spatial 同时风险带给出置信区间和单侧下界。如果证据不足，结果会明确标为 descriptive 或 inference_not_certified，而不是把一个不稳定点估计写成确定结论。</w:t>
      </w:r>
    </w:p>
    <w:p w14:paraId="4210BD80">
      <w:pPr>
        <w:pStyle w:val="4"/>
      </w:pPr>
      <w:r>
        <w:t>漏洞二：两个模型可能不是在同一组国家上比较</w:t>
      </w:r>
    </w:p>
    <w:p w14:paraId="5CDA6292">
      <w:pPr>
        <w:spacing w:after="150" w:line="326" w:lineRule="auto"/>
        <w:jc w:val="both"/>
      </w:pPr>
      <w:r>
        <w:rPr>
          <w:rFonts w:ascii="Calibri" w:hAnsi="Calibri" w:eastAsia="微软雅黑"/>
          <w:color w:val="202A35"/>
          <w:sz w:val="22"/>
        </w:rPr>
        <w:t>模型 A 在 100 个国家都有有效结果，模型 B 因缺失预测只剩 80 个国家。如果各自计算 BWER，B 看起来更公平，可能只是因为最困难的 20 个国家被排除了。新版强制 common-support comparison：先冻结两个模型共同可审计的切片与独立单位，再计算配对差值区间。这样“平均性能第一、尾部公平性第二”的排名反转才有可比较含义。</w:t>
      </w:r>
    </w:p>
    <w:p w14:paraId="6222AB1E">
      <w:pPr>
        <w:pStyle w:val="4"/>
      </w:pPr>
      <w:r>
        <w:t>漏洞三：空间样本并非相互独立</w:t>
      </w:r>
    </w:p>
    <w:p w14:paraId="0F2138F6">
      <w:pPr>
        <w:spacing w:after="150" w:line="326" w:lineRule="auto"/>
        <w:jc w:val="both"/>
      </w:pPr>
      <w:r>
        <w:rPr>
          <w:rFonts w:ascii="Calibri" w:hAnsi="Calibri" w:eastAsia="微软雅黑"/>
          <w:color w:val="202A35"/>
          <w:sz w:val="22"/>
        </w:rPr>
        <w:t>同一卫星条带、同一事件或相邻空间块内的样本往往高度相关。把 1,000 个相邻像素当成 1,000 个独立证据，会让普通 i.i.d. bootstrap 的区间过窄。新版要求按事件、source tile、site 或空间块重采样，并使用 max-T 同时风险带传播到 GeoBWER。若正式模式缺少依赖结构字段，程序直接停止，而不是静默退化。</w:t>
      </w:r>
    </w:p>
    <w:p w14:paraId="39A1A533">
      <w:pPr>
        <w:pStyle w:val="4"/>
      </w:pPr>
      <w:r>
        <w:t>漏洞四：GeoBWER 为零不代表模型好</w:t>
      </w:r>
    </w:p>
    <w:p w14:paraId="250FE0E0">
      <w:pPr>
        <w:spacing w:after="150" w:line="326" w:lineRule="auto"/>
        <w:jc w:val="both"/>
      </w:pPr>
      <w:r>
        <w:rPr>
          <w:rFonts w:ascii="Calibri" w:hAnsi="Calibri" w:eastAsia="微软雅黑"/>
          <w:color w:val="202A35"/>
          <w:sz w:val="22"/>
        </w:rPr>
        <w:t>如果所有地区错误率都是 10%，GeoBWER 接近 0；如果所有地区错误率都是 40%，GeoBWER 也可能接近 0。两者同样“均匀”，但第二个模型显然不可用。因此新版 Audit Card 强制联报平均风险、尾部风险、GeoBWER、有效部署质量和证据状态。GeoBWER 只回答风险是否分配不均，不替代准确率或总体风险。</w:t>
      </w:r>
    </w:p>
    <w:p w14:paraId="39E0FF98">
      <w:r>
        <w:br w:type="page"/>
      </w:r>
    </w:p>
    <w:p w14:paraId="204F6AB4">
      <w:pPr>
        <w:pStyle w:val="3"/>
      </w:pPr>
      <w:r>
        <w:t>4. Standardised 与 Selective：原有思想被保留，但解释更严格</w:t>
      </w:r>
    </w:p>
    <w:p w14:paraId="79D65E0D">
      <w:pPr>
        <w:pStyle w:val="4"/>
      </w:pPr>
      <w:r>
        <w:t>Standardised-GeoBWER：控制“各地任务组成不同”</w:t>
      </w:r>
    </w:p>
    <w:p w14:paraId="7EF4F179">
      <w:pPr>
        <w:pBdr>
          <w:left w:val="single" w:color="5B9BD5" w:sz="16" w:space="7"/>
        </w:pBdr>
        <w:shd w:val="clear" w:fill="EAF2F8"/>
        <w:spacing w:before="60" w:after="160" w:line="307" w:lineRule="auto"/>
        <w:jc w:val="center"/>
      </w:pPr>
      <w:r>
        <w:rPr>
          <w:rFonts w:ascii="Cambria Math" w:hAnsi="Cambria Math" w:eastAsia="微软雅黑"/>
          <w:color w:val="17365D"/>
          <w:sz w:val="24"/>
        </w:rPr>
        <w:t>Rstdg = Σc π*c · E[L | group=g, class=c]</w:t>
      </w:r>
    </w:p>
    <w:p w14:paraId="620974AE">
      <w:pPr>
        <w:spacing w:after="150" w:line="326" w:lineRule="auto"/>
        <w:jc w:val="both"/>
      </w:pPr>
      <w:r>
        <w:rPr>
          <w:rFonts w:ascii="Calibri" w:hAnsi="Calibri" w:eastAsia="微软雅黑"/>
          <w:color w:val="202A35"/>
          <w:sz w:val="22"/>
        </w:rPr>
        <w:t>原始地理风险混合了两件事：一是某地区确实更难；二是该地区恰好包含更多困难类别。Standardised-GeoBWER 用共同参考组成 π* 重新组合每个地区的类别风险。例如，国家 A 有 80% 的机场与港口，国家 B 有 80% 的普通住宅；如果机场本来就更难，Raw-BWER 可能把类别组成差异误认为地理不公平。标准化后，两国都按照相同的类别比例比较，剩余差距更接近同类条件下的地理差异。</w:t>
      </w:r>
    </w:p>
    <w:p w14:paraId="1406B7CA">
      <w:pPr>
        <w:spacing w:after="150" w:line="326" w:lineRule="auto"/>
        <w:jc w:val="both"/>
      </w:pPr>
      <w:r>
        <w:rPr>
          <w:rFonts w:ascii="Calibri" w:hAnsi="Calibri" w:eastAsia="微软雅黑"/>
          <w:color w:val="202A35"/>
          <w:sz w:val="22"/>
        </w:rPr>
        <w:t>新版重点修复的是缺失单元。如果国家 B 根本没有“港口”样本，直接把剩余类别重新归一化会偷偷改变问题。现在 strict 版本会标记为不可识别；overlap 只在共同存在的类别上比较；partial bounds 则给出缺失单元在合理风险范围内可能导致的上下界。它们不是三个随意挑选的分数，而是三个证据层次。</w:t>
      </w:r>
    </w:p>
    <w:p w14:paraId="50D3CEEC">
      <w:pPr>
        <w:pBdr>
          <w:left w:val="single" w:color="2E74B5" w:sz="16" w:space="7"/>
        </w:pBdr>
        <w:shd w:val="clear" w:fill="F5F8FB"/>
        <w:spacing w:before="60" w:after="160" w:line="307" w:lineRule="auto"/>
        <w:ind w:left="144" w:right="58"/>
      </w:pPr>
      <w:r>
        <w:rPr>
          <w:rFonts w:ascii="Calibri" w:hAnsi="Calibri" w:eastAsia="微软雅黑"/>
          <w:b/>
          <w:color w:val="17365D"/>
          <w:sz w:val="21"/>
        </w:rPr>
        <w:t xml:space="preserve">一个可能发生的结论变化： </w:t>
      </w:r>
      <w:r>
        <w:rPr>
          <w:rFonts w:ascii="Calibri" w:hAnsi="Calibri" w:eastAsia="微软雅黑"/>
          <w:color w:val="202A35"/>
          <w:sz w:val="21"/>
        </w:rPr>
        <w:t>国家 A 的 Raw 风险为 30%，国家 B 为 15%，看起来 A 明显更差；但 A 的样本中困难类别占 80%，B 只有 20%。按同一类别组成标准化后，两国都可能变成约 20%。这时合理结论不是“新版把不公平抹掉了”，而是原始差距主要由任务组成解释。反过来，如果标准化后 A 仍为 30%、B 仍为 15%，地理差距证据反而更强。</w:t>
      </w:r>
    </w:p>
    <w:p w14:paraId="029A5BF1">
      <w:pPr>
        <w:pStyle w:val="4"/>
      </w:pPr>
      <w:r>
        <w:t>Selective-GeoBWER：模型可以拒答，但不能用拒绝服务制造公平</w:t>
      </w:r>
    </w:p>
    <w:p w14:paraId="0EDBA133">
      <w:pPr>
        <w:pBdr>
          <w:left w:val="single" w:color="5B9BD5" w:sz="16" w:space="7"/>
        </w:pBdr>
        <w:shd w:val="clear" w:fill="EAF2F8"/>
        <w:spacing w:before="60" w:after="160" w:line="307" w:lineRule="auto"/>
        <w:jc w:val="center"/>
      </w:pPr>
      <w:r>
        <w:rPr>
          <w:rFonts w:ascii="Cambria Math" w:hAnsi="Cambria Math" w:eastAsia="微软雅黑"/>
          <w:color w:val="17365D"/>
          <w:sz w:val="24"/>
        </w:rPr>
        <w:t>Rselg(τ) = E[L | confidence≥τ, group=g]</w:t>
      </w:r>
      <w:r>
        <w:br w:type="textWrapping"/>
      </w:r>
      <w:r>
        <w:rPr>
          <w:rFonts w:ascii="Cambria Math" w:hAnsi="Cambria Math" w:eastAsia="微软雅黑"/>
          <w:color w:val="17365D"/>
          <w:sz w:val="24"/>
        </w:rPr>
        <w:t>coverageg(τ) = P(confidence≥τ | group=g)</w:t>
      </w:r>
    </w:p>
    <w:p w14:paraId="4706EECD">
      <w:pPr>
        <w:spacing w:after="150" w:line="326" w:lineRule="auto"/>
        <w:jc w:val="both"/>
      </w:pPr>
      <w:r>
        <w:rPr>
          <w:rFonts w:ascii="Calibri" w:hAnsi="Calibri" w:eastAsia="微软雅黑"/>
          <w:color w:val="202A35"/>
          <w:sz w:val="22"/>
        </w:rPr>
        <w:t>Selective prediction 让模型只处理高置信样本。旧版主要观察“拒绝低置信样本后，准确率和 BWER 是否改善”；新版强制把每个切片的接受率一起报告。例如，模型在欧洲接受 90% 的样本，在非洲只接受 5%。即使两边接受后的错误率都只有 5%，也不能称为公平，因为非洲承担了更高的服务排除。</w:t>
      </w:r>
    </w:p>
    <w:p w14:paraId="1A204273">
      <w:pPr>
        <w:pBdr>
          <w:left w:val="single" w:color="2E74B5" w:sz="16" w:space="7"/>
        </w:pBdr>
        <w:shd w:val="clear" w:fill="F5F8FB"/>
        <w:spacing w:before="60" w:after="160" w:line="307" w:lineRule="auto"/>
        <w:ind w:left="144" w:right="58"/>
      </w:pPr>
      <w:r>
        <w:rPr>
          <w:rFonts w:ascii="Calibri" w:hAnsi="Calibri" w:eastAsia="微软雅黑"/>
          <w:b/>
          <w:color w:val="17365D"/>
          <w:sz w:val="21"/>
        </w:rPr>
        <w:t xml:space="preserve">一个关键修复： </w:t>
      </w:r>
      <w:r>
        <w:rPr>
          <w:rFonts w:ascii="Calibri" w:hAnsi="Calibri" w:eastAsia="微软雅黑"/>
          <w:color w:val="202A35"/>
          <w:sz w:val="21"/>
        </w:rPr>
        <w:t>如果某个预注册切片在阈值下一个样本都不接受，其选择性风险不是 0，而是不可识别。新版不会再输出一个看似完美、实际来自完全拒答的公平分数。</w:t>
      </w:r>
    </w:p>
    <w:p w14:paraId="5F5B7A80">
      <w:pPr>
        <w:pStyle w:val="4"/>
      </w:pPr>
      <w:r>
        <w:t>怎样解读风险—覆盖曲线</w:t>
      </w:r>
    </w:p>
    <w:p w14:paraId="28073963">
      <w:pPr>
        <w:spacing w:after="150" w:line="326" w:lineRule="auto"/>
        <w:jc w:val="both"/>
      </w:pPr>
      <w:r>
        <w:rPr>
          <w:rFonts w:ascii="Calibri" w:hAnsi="Calibri" w:eastAsia="微软雅黑"/>
          <w:color w:val="202A35"/>
          <w:sz w:val="22"/>
        </w:rPr>
        <w:t>假设把置信阈值从 0.5 提高到 0.9 后，总体错误率从 20% 降到 5%。如果所有地区接受率都从约 90% 同步降到约 60%，且 GeoBWER 也下降，可以说拒答策略较均衡地改善了可靠性。如果欧洲仍接受 70%，非洲却降到 5%，那么低错误率主要是把困难地区排除在服务之外。新版会同时画出 risk、coverage 和 coverage-GeoBWER，而不是只展示一条越来越好看的准确率曲线。</w:t>
      </w:r>
    </w:p>
    <w:p w14:paraId="3BB2CA1E">
      <w:r>
        <w:br w:type="page"/>
      </w:r>
    </w:p>
    <w:p w14:paraId="0D3A7D5D">
      <w:pPr>
        <w:pStyle w:val="3"/>
      </w:pPr>
      <w:r>
        <w:t>5. Conformal：公平性审计从“预测错误”扩展到“可靠性承诺”</w:t>
      </w:r>
    </w:p>
    <w:p w14:paraId="2D96AB88">
      <w:pPr>
        <w:pStyle w:val="4"/>
      </w:pPr>
      <w:r>
        <w:t>最通俗的理解</w:t>
      </w:r>
    </w:p>
    <w:p w14:paraId="587D7CDE">
      <w:pPr>
        <w:spacing w:after="150" w:line="326" w:lineRule="auto"/>
        <w:jc w:val="both"/>
      </w:pPr>
      <w:r>
        <w:rPr>
          <w:rFonts w:ascii="Calibri" w:hAnsi="Calibri" w:eastAsia="微软雅黑"/>
          <w:color w:val="202A35"/>
          <w:sz w:val="22"/>
        </w:rPr>
        <w:t>普通分类必须给出一个答案，例如“草地”。Conformal Prediction 可以给出集合 {草地，灌木地}：模型并没有突然变准，而是诚实表示这两个类别都合理。我们提前设定 90% coverage，并用独立 calibration 集决定集合需要多宽；目标是在与校准条件相似的未来样本中，真实类别大约至少 90% 的时间落在集合里。</w:t>
      </w:r>
    </w:p>
    <w:p w14:paraId="5B6DD836">
      <w:pPr>
        <w:pBdr>
          <w:left w:val="single" w:color="2E74B5" w:sz="16" w:space="7"/>
        </w:pBdr>
        <w:shd w:val="clear" w:fill="F5F8FB"/>
        <w:spacing w:before="60" w:after="160" w:line="307" w:lineRule="auto"/>
        <w:ind w:left="144" w:right="58"/>
      </w:pPr>
      <w:r>
        <w:rPr>
          <w:rFonts w:ascii="Calibri" w:hAnsi="Calibri" w:eastAsia="微软雅黑"/>
          <w:b/>
          <w:color w:val="17365D"/>
          <w:sz w:val="21"/>
        </w:rPr>
        <w:t xml:space="preserve">一个简单例子： </w:t>
      </w:r>
      <w:r>
        <w:rPr>
          <w:rFonts w:ascii="Calibri" w:hAnsi="Calibri" w:eastAsia="微软雅黑"/>
          <w:color w:val="202A35"/>
          <w:sz w:val="21"/>
        </w:rPr>
        <w:t>模型概率为草地 0.55、灌木地 0.30、农田 0.10。普通预测输出“草地”；Conformal 可能输出 {草地，灌木地}。困难样本的集合会更大，因此 coverage 必须与平均集合大小一起解释：如果每次都把所有类别放进去，覆盖率虽高，却没有使用价值。</w:t>
      </w:r>
    </w:p>
    <w:p w14:paraId="1C333E3E">
      <w:pPr>
        <w:pStyle w:val="4"/>
      </w:pPr>
      <w:r>
        <w:t>Conformal-GeoBWER 做了什么</w:t>
      </w:r>
    </w:p>
    <w:p w14:paraId="16B6BFA3">
      <w:pPr>
        <w:spacing w:after="150" w:line="326" w:lineRule="auto"/>
        <w:jc w:val="both"/>
      </w:pPr>
      <w:r>
        <w:rPr>
          <w:rFonts w:ascii="Calibri" w:hAnsi="Calibri" w:eastAsia="微软雅黑"/>
          <w:color w:val="202A35"/>
          <w:sz w:val="22"/>
        </w:rPr>
        <w:t>对每个测试样本定义误覆盖损失 L=1{真实标签不在预测集合中}，再计算各国家、类别或事件的误覆盖率，最后用 GeoBWER 审计哪些切片承担更多误覆盖。它回答的不是“谁的分类错误更多”，而是“当系统承诺 90% coverage 时，谁更经常得不到这个承诺”。</w:t>
      </w:r>
    </w:p>
    <w:p w14:paraId="55E3841D">
      <w:pPr>
        <w:spacing w:after="150" w:line="326" w:lineRule="auto"/>
        <w:jc w:val="both"/>
      </w:pPr>
      <w:r>
        <w:rPr>
          <w:rFonts w:ascii="Calibri" w:hAnsi="Calibri" w:eastAsia="微软雅黑"/>
          <w:color w:val="202A35"/>
          <w:sz w:val="22"/>
        </w:rPr>
        <w:t>Conformal 与 Selective 不是替代关系。Selective 是“给一个答案或拒答”；Conformal 是“给一个可能包含多个答案的集合”。前者需要检查服务覆盖率，后者需要检查 coverage、集合大小和 coverage debt。两者都可以进入同一 GeoBWER 泛函，但风险输入不同。</w:t>
      </w:r>
    </w:p>
    <w:p w14:paraId="67F03441">
      <w:pPr>
        <w:pStyle w:val="4"/>
      </w:pPr>
      <w:r>
        <w:t>同一原则在三类任务中是什么样子</w:t>
      </w:r>
    </w:p>
    <w:p w14:paraId="128ED20D">
      <w:pPr>
        <w:spacing w:after="150" w:line="326" w:lineRule="auto"/>
        <w:jc w:val="both"/>
      </w:pPr>
      <w:r>
        <w:rPr>
          <w:rFonts w:ascii="Calibri" w:hAnsi="Calibri" w:eastAsia="微软雅黑"/>
          <w:color w:val="202A35"/>
          <w:sz w:val="22"/>
        </w:rPr>
        <w:t>在 AlphaEarth 和 fMoW 单标签分类中，输出是真实类别可能所在的候选集合，例如 {机场，港口，工业设施}。在 reBEN 多标签任务中，一张图本来就可能同时属于农田、草地和水体，因此重点不是再造一个单标签集合，而是用 CRC 控制平均漏掉多少真实标签。在 Sen1Floods11 分割中，逐像素输出 {洪水，非洪水} 往往会形成大面积模糊集合；更可解释的做法是控制每个事件或图块的洪水漏检风险，再检查哪些事件超过目标。</w:t>
      </w:r>
    </w:p>
    <w:p w14:paraId="21A37744">
      <w:pPr>
        <w:pBdr>
          <w:left w:val="single" w:color="2E74B5" w:sz="16" w:space="7"/>
        </w:pBdr>
        <w:shd w:val="clear" w:fill="F5F8FB"/>
        <w:spacing w:before="60" w:after="160" w:line="307" w:lineRule="auto"/>
        <w:ind w:left="144" w:right="58"/>
      </w:pPr>
      <w:r>
        <w:rPr>
          <w:rFonts w:ascii="Calibri" w:hAnsi="Calibri" w:eastAsia="微软雅黑"/>
          <w:b/>
          <w:color w:val="17365D"/>
          <w:sz w:val="21"/>
        </w:rPr>
        <w:t xml:space="preserve">为什么这仍然算统一框架： </w:t>
      </w:r>
      <w:r>
        <w:rPr>
          <w:rFonts w:ascii="Calibri" w:hAnsi="Calibri" w:eastAsia="微软雅黑"/>
          <w:color w:val="202A35"/>
          <w:sz w:val="21"/>
        </w:rPr>
        <w:t>三类任务不共享完全相同的集合公式，但共享同一个接口：先由任务正确的方法产生逐独立单位风险，再聚合成部署切片风险，最后由 GeoBWER 审计尾部。统一的是科学问题和审计合同，而不是强迫所有任务输出同一种对象。</w:t>
      </w:r>
    </w:p>
    <w:p w14:paraId="3CE90E28">
      <w:pPr>
        <w:pStyle w:val="4"/>
      </w:pPr>
      <w:r>
        <w:t>AlphaEarth 已出现的信号</w:t>
      </w:r>
    </w:p>
    <w:p w14:paraId="67E72E2A">
      <w:pPr>
        <w:spacing w:after="150" w:line="326" w:lineRule="auto"/>
        <w:jc w:val="both"/>
      </w:pPr>
      <w:r>
        <w:rPr>
          <w:rFonts w:ascii="Calibri" w:hAnsi="Calibri" w:eastAsia="微软雅黑"/>
          <w:color w:val="202A35"/>
          <w:sz w:val="22"/>
        </w:rPr>
        <w:t>AlphaEarth 在目标 90% coverage 下，空间块测试的边际 coverage 约为 88.99%，平均集合大小约为 1.449。这说明集合总体仍较精简。下一步更重要的问题不是只看 88.99%，而是检查哪些国家或土地类型承担了主要欠覆盖。</w:t>
      </w:r>
    </w:p>
    <w:p w14:paraId="658CFD1A">
      <w:pPr>
        <w:pBdr>
          <w:left w:val="single" w:color="2E74B5" w:sz="16" w:space="7"/>
        </w:pBdr>
        <w:shd w:val="clear" w:fill="F5F8FB"/>
        <w:spacing w:before="60" w:after="160" w:line="307" w:lineRule="auto"/>
        <w:ind w:left="144" w:right="58"/>
      </w:pPr>
      <w:r>
        <w:rPr>
          <w:rFonts w:ascii="Calibri" w:hAnsi="Calibri" w:eastAsia="微软雅黑"/>
          <w:b/>
          <w:color w:val="17365D"/>
          <w:sz w:val="21"/>
        </w:rPr>
        <w:t xml:space="preserve">为什么不能只看 Conformal-GeoBWER： </w:t>
      </w:r>
      <w:r>
        <w:rPr>
          <w:rFonts w:ascii="Calibri" w:hAnsi="Calibri" w:eastAsia="微软雅黑"/>
          <w:color w:val="202A35"/>
          <w:sz w:val="21"/>
        </w:rPr>
        <w:t>如果所有地区的误覆盖率都是 30%，地区差距可以接近 0，但 90% coverage 承诺已经整体失败。因此报告必须同时包含总体 coverage、最差切片 coverage、集合大小、目标违反量和 Conformal-GeoBWER。</w:t>
      </w:r>
    </w:p>
    <w:p w14:paraId="63B86AE0">
      <w:r>
        <w:br w:type="page"/>
      </w:r>
    </w:p>
    <w:p w14:paraId="4774C592">
      <w:pPr>
        <w:pStyle w:val="3"/>
      </w:pPr>
      <w:r>
        <w:t>6. GeoConformal 论文如何融入本项目</w:t>
      </w:r>
    </w:p>
    <w:p w14:paraId="163B44CC">
      <w:pPr>
        <w:spacing w:after="150" w:line="326" w:lineRule="auto"/>
        <w:jc w:val="both"/>
      </w:pPr>
      <w:r>
        <w:rPr>
          <w:rFonts w:ascii="Calibri" w:hAnsi="Calibri" w:eastAsia="微软雅黑"/>
          <w:color w:val="202A35"/>
          <w:sz w:val="22"/>
        </w:rPr>
        <w:t>Lou、Luo 与 Meng 的 GeoConformal Prediction 把地理距离引入 conformal 校准：对某个测试地点而言，附近校准样本的误差权重更高，因此不同地点可以得到不同的局部阈值。它最有价值的启发是把“全球 coverage 正常，但某个局部区域持续失败”变成可观测问题。这与本项目寻找最差地理切片的目标高度一致。</w:t>
      </w:r>
    </w:p>
    <w:p w14:paraId="7D0D66C9">
      <w:pPr>
        <w:pStyle w:val="4"/>
      </w:pPr>
      <w:r>
        <w:t>为什么没有把原算法直接套到四个任务</w:t>
      </w:r>
    </w:p>
    <w:p w14:paraId="3498DD8E">
      <w:pPr>
        <w:spacing w:after="150" w:line="326" w:lineRule="auto"/>
        <w:jc w:val="both"/>
      </w:pPr>
      <w:r>
        <w:rPr>
          <w:rFonts w:ascii="Calibri" w:hAnsi="Calibri" w:eastAsia="微软雅黑"/>
          <w:color w:val="202A35"/>
          <w:sz w:val="22"/>
        </w:rPr>
        <w:t>任意的地理核权重并不会自动继承普通 conformal 的有限样本覆盖保证。Covariate-shift weighted CP 需要权重能解释为密度比或满足加权可交换性；Localized CP 也需要专门校准。后续局部加权研究进一步表明，朴素的测试点中心 local CP 可能欠覆盖或过覆盖。因此当前设计把普通 split CP / CRC 作为正式理论锚点，把地理核版本标记为 empirical geographic localization comparator。</w:t>
      </w:r>
    </w:p>
    <w:p w14:paraId="6402BCF9">
      <w:pPr>
        <w:spacing w:after="150" w:line="326" w:lineRule="auto"/>
        <w:jc w:val="both"/>
      </w:pPr>
      <w:r>
        <w:rPr>
          <w:rFonts w:ascii="Calibri" w:hAnsi="Calibri" w:eastAsia="微软雅黑"/>
          <w:color w:val="202A35"/>
          <w:sz w:val="22"/>
        </w:rPr>
        <w:t>这并不是降低贡献。两层结构分别回答两个问题：正式锚点回答“覆盖或风险承诺是否有理论依据”；空间 comparator 回答“地理局部化能否减少最差地区的欠覆盖，以及是否以更大的预测集合为代价”。带宽只从校准坐标选择，测试标签不参与；同时报告局部有效样本量、最近校准距离、可识别比例和集合效率。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2952"/>
        <w:gridCol w:w="4464"/>
      </w:tblGrid>
      <w:tr w14:paraId="02789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44" w:type="dxa"/>
            <w:shd w:val="clear" w:color="auto" w:fill="EAF2F8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5545436D">
            <w:pPr>
              <w:spacing w:after="0" w:line="283" w:lineRule="auto"/>
              <w:jc w:val="center"/>
            </w:pPr>
            <w:r>
              <w:rPr>
                <w:rFonts w:ascii="Calibri" w:hAnsi="Calibri" w:eastAsia="微软雅黑"/>
                <w:b/>
                <w:color w:val="17365D"/>
                <w:sz w:val="17"/>
              </w:rPr>
              <w:t>任务</w:t>
            </w:r>
          </w:p>
        </w:tc>
        <w:tc>
          <w:tcPr>
            <w:tcW w:w="2952" w:type="dxa"/>
            <w:shd w:val="clear" w:color="auto" w:fill="EAF2F8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627BD327">
            <w:pPr>
              <w:spacing w:after="0" w:line="283" w:lineRule="auto"/>
              <w:jc w:val="center"/>
            </w:pPr>
            <w:r>
              <w:rPr>
                <w:rFonts w:ascii="Calibri" w:hAnsi="Calibri" w:eastAsia="微软雅黑"/>
                <w:b/>
                <w:color w:val="17365D"/>
                <w:sz w:val="17"/>
              </w:rPr>
              <w:t>正式理论锚点</w:t>
            </w:r>
          </w:p>
        </w:tc>
        <w:tc>
          <w:tcPr>
            <w:tcW w:w="4464" w:type="dxa"/>
            <w:shd w:val="clear" w:color="auto" w:fill="EAF2F8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6FFBF115">
            <w:pPr>
              <w:spacing w:after="0" w:line="283" w:lineRule="auto"/>
              <w:jc w:val="center"/>
            </w:pPr>
            <w:r>
              <w:rPr>
                <w:rFonts w:ascii="Calibri" w:hAnsi="Calibri" w:eastAsia="微软雅黑"/>
                <w:b/>
                <w:color w:val="17365D"/>
                <w:sz w:val="17"/>
              </w:rPr>
              <w:t>地理局部决策</w:t>
            </w:r>
          </w:p>
        </w:tc>
      </w:tr>
      <w:tr w14:paraId="68AE1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79CC2B9E">
            <w:pPr>
              <w:spacing w:after="0" w:line="283" w:lineRule="auto"/>
            </w:pPr>
            <w:r>
              <w:rPr>
                <w:rFonts w:ascii="Calibri" w:hAnsi="Calibri" w:eastAsia="微软雅黑"/>
                <w:b/>
                <w:color w:val="17365D"/>
                <w:sz w:val="17"/>
              </w:rPr>
              <w:t>AlphaEarth</w:t>
            </w:r>
          </w:p>
        </w:tc>
        <w:tc>
          <w:tcPr>
            <w:tcW w:w="2952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2F4D021B">
            <w:pPr>
              <w:spacing w:after="0" w:line="283" w:lineRule="auto"/>
            </w:pPr>
            <w:r>
              <w:rPr>
                <w:rFonts w:ascii="Calibri" w:hAnsi="Calibri" w:eastAsia="微软雅黑"/>
                <w:b w:val="0"/>
                <w:color w:val="202A35"/>
                <w:sz w:val="17"/>
              </w:rPr>
              <w:t>LAC / APS / RAPS</w:t>
            </w:r>
          </w:p>
        </w:tc>
        <w:tc>
          <w:tcPr>
            <w:tcW w:w="4464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090466ED">
            <w:pPr>
              <w:spacing w:after="0" w:line="283" w:lineRule="auto"/>
            </w:pPr>
            <w:r>
              <w:rPr>
                <w:rFonts w:ascii="Calibri" w:hAnsi="Calibri" w:eastAsia="微软雅黑"/>
                <w:b w:val="0"/>
                <w:color w:val="202A35"/>
                <w:sz w:val="17"/>
              </w:rPr>
              <w:t>正式运行地理核 comparator；全球坐标与空间块最完整。</w:t>
            </w:r>
          </w:p>
        </w:tc>
      </w:tr>
      <w:tr w14:paraId="76C43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shd w:val="clear" w:color="auto" w:fill="FAFBFC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20B5457C">
            <w:pPr>
              <w:spacing w:after="0" w:line="283" w:lineRule="auto"/>
            </w:pPr>
            <w:r>
              <w:rPr>
                <w:rFonts w:ascii="Calibri" w:hAnsi="Calibri" w:eastAsia="微软雅黑"/>
                <w:b/>
                <w:color w:val="17365D"/>
                <w:sz w:val="17"/>
              </w:rPr>
              <w:t>fMoW-Sentinel</w:t>
            </w:r>
          </w:p>
        </w:tc>
        <w:tc>
          <w:tcPr>
            <w:tcW w:w="2952" w:type="dxa"/>
            <w:shd w:val="clear" w:color="auto" w:fill="FAFBFC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50D87233">
            <w:pPr>
              <w:spacing w:after="0" w:line="283" w:lineRule="auto"/>
            </w:pPr>
            <w:r>
              <w:rPr>
                <w:rFonts w:ascii="Calibri" w:hAnsi="Calibri" w:eastAsia="微软雅黑"/>
                <w:b w:val="0"/>
                <w:color w:val="202A35"/>
                <w:sz w:val="17"/>
              </w:rPr>
              <w:t>LAC / APS / RAPS</w:t>
            </w:r>
          </w:p>
        </w:tc>
        <w:tc>
          <w:tcPr>
            <w:tcW w:w="4464" w:type="dxa"/>
            <w:shd w:val="clear" w:color="auto" w:fill="FAFBFC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727ED256">
            <w:pPr>
              <w:spacing w:after="0" w:line="283" w:lineRule="auto"/>
            </w:pPr>
            <w:r>
              <w:rPr>
                <w:rFonts w:ascii="Calibri" w:hAnsi="Calibri" w:eastAsia="微软雅黑"/>
                <w:b w:val="0"/>
                <w:color w:val="202A35"/>
                <w:sz w:val="17"/>
              </w:rPr>
              <w:t>坐标来源和局部有效样本量门控通过后运行。</w:t>
            </w:r>
          </w:p>
        </w:tc>
      </w:tr>
      <w:tr w14:paraId="727E6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71CFCFAF">
            <w:pPr>
              <w:spacing w:after="0" w:line="283" w:lineRule="auto"/>
            </w:pPr>
            <w:r>
              <w:rPr>
                <w:rFonts w:ascii="Calibri" w:hAnsi="Calibri" w:eastAsia="微软雅黑"/>
                <w:b/>
                <w:color w:val="17365D"/>
                <w:sz w:val="17"/>
              </w:rPr>
              <w:t>reBEN</w:t>
            </w:r>
          </w:p>
        </w:tc>
        <w:tc>
          <w:tcPr>
            <w:tcW w:w="2952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0D1451EF">
            <w:pPr>
              <w:spacing w:after="0" w:line="283" w:lineRule="auto"/>
            </w:pPr>
            <w:r>
              <w:rPr>
                <w:rFonts w:ascii="Calibri" w:hAnsi="Calibri" w:eastAsia="微软雅黑"/>
                <w:b w:val="0"/>
                <w:color w:val="202A35"/>
                <w:sz w:val="17"/>
              </w:rPr>
              <w:t>多标签 CRC</w:t>
            </w:r>
          </w:p>
        </w:tc>
        <w:tc>
          <w:tcPr>
            <w:tcW w:w="4464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700EB793">
            <w:pPr>
              <w:spacing w:after="0" w:line="283" w:lineRule="auto"/>
            </w:pPr>
            <w:r>
              <w:rPr>
                <w:rFonts w:ascii="Calibri" w:hAnsi="Calibri" w:eastAsia="微软雅黑"/>
                <w:b w:val="0"/>
                <w:color w:val="202A35"/>
                <w:sz w:val="17"/>
              </w:rPr>
              <w:t>CRC 已完成；缺少可靠连续坐标，地理核版本正式标记 screened_not_run。</w:t>
            </w:r>
          </w:p>
        </w:tc>
      </w:tr>
      <w:tr w14:paraId="1E8B7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shd w:val="clear" w:color="auto" w:fill="FAFBFC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2E28AB57">
            <w:pPr>
              <w:spacing w:after="0" w:line="283" w:lineRule="auto"/>
            </w:pPr>
            <w:r>
              <w:rPr>
                <w:rFonts w:ascii="Calibri" w:hAnsi="Calibri" w:eastAsia="微软雅黑"/>
                <w:b/>
                <w:color w:val="17365D"/>
                <w:sz w:val="17"/>
              </w:rPr>
              <w:t>Sen1Floods11</w:t>
            </w:r>
          </w:p>
        </w:tc>
        <w:tc>
          <w:tcPr>
            <w:tcW w:w="2952" w:type="dxa"/>
            <w:shd w:val="clear" w:color="auto" w:fill="FAFBFC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1656C318">
            <w:pPr>
              <w:spacing w:after="0" w:line="283" w:lineRule="auto"/>
            </w:pPr>
            <w:r>
              <w:rPr>
                <w:rFonts w:ascii="Calibri" w:hAnsi="Calibri" w:eastAsia="微软雅黑"/>
                <w:b w:val="0"/>
                <w:color w:val="202A35"/>
                <w:sz w:val="17"/>
              </w:rPr>
              <w:t>分割 CRC</w:t>
            </w:r>
          </w:p>
        </w:tc>
        <w:tc>
          <w:tcPr>
            <w:tcW w:w="4464" w:type="dxa"/>
            <w:shd w:val="clear" w:color="auto" w:fill="FAFBFC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7E8ECD8E">
            <w:pPr>
              <w:spacing w:after="0" w:line="283" w:lineRule="auto"/>
            </w:pPr>
            <w:r>
              <w:rPr>
                <w:rFonts w:ascii="Calibri" w:hAnsi="Calibri" w:eastAsia="微软雅黑"/>
                <w:b w:val="0"/>
                <w:color w:val="202A35"/>
                <w:sz w:val="17"/>
              </w:rPr>
              <w:t>按芯片/事件支持决定；支持不足时正式停止局部扩展。</w:t>
            </w:r>
          </w:p>
        </w:tc>
      </w:tr>
    </w:tbl>
    <w:p w14:paraId="6EEE8A72">
      <w:pPr>
        <w:spacing w:after="40"/>
      </w:pPr>
    </w:p>
    <w:p w14:paraId="14305774">
      <w:pPr>
        <w:spacing w:after="150" w:line="326" w:lineRule="auto"/>
        <w:jc w:val="both"/>
      </w:pPr>
      <w:r>
        <w:rPr>
          <w:rFonts w:ascii="Calibri" w:hAnsi="Calibri" w:eastAsia="微软雅黑"/>
          <w:color w:val="202A35"/>
          <w:sz w:val="22"/>
        </w:rPr>
        <w:t>因此，“screened_not_run”也可以是有意义的结果：它说明该数据集当前没有足够空间支持来识别局部不确定性，而不是程序漏做了一项分析。</w:t>
      </w:r>
    </w:p>
    <w:p w14:paraId="23222AE9">
      <w:pPr>
        <w:pBdr>
          <w:left w:val="single" w:color="2E74B5" w:sz="16" w:space="7"/>
        </w:pBdr>
        <w:shd w:val="clear" w:fill="F5F8FB"/>
        <w:spacing w:before="60" w:after="160" w:line="307" w:lineRule="auto"/>
        <w:ind w:left="144" w:right="58"/>
      </w:pPr>
      <w:r>
        <w:rPr>
          <w:rFonts w:ascii="Calibri" w:hAnsi="Calibri" w:eastAsia="微软雅黑"/>
          <w:b/>
          <w:color w:val="17365D"/>
          <w:sz w:val="21"/>
        </w:rPr>
        <w:t xml:space="preserve">最终可证伪问题： </w:t>
      </w:r>
      <w:r>
        <w:rPr>
          <w:rFonts w:ascii="Calibri" w:hAnsi="Calibri" w:eastAsia="微软雅黑"/>
          <w:color w:val="202A35"/>
          <w:sz w:val="21"/>
        </w:rPr>
        <w:t>当地理误差非平稳时，局部 conformal 能否降低最差地区的误覆盖，又不把代价转移为这些地区更大、近乎无用的预测集合？无论改善、无效还是发生代价转移，都能由 GeoBWER 的误覆盖与效率双审计揭示。</w:t>
      </w:r>
    </w:p>
    <w:p w14:paraId="35B5F9E5">
      <w:r>
        <w:br w:type="page"/>
      </w:r>
    </w:p>
    <w:p w14:paraId="5B2611E5">
      <w:pPr>
        <w:pStyle w:val="3"/>
      </w:pPr>
      <w:r>
        <w:t>7. AlphaEarth：为什么它是本次新增中最重要的实验</w:t>
      </w:r>
    </w:p>
    <w:p w14:paraId="534D0CB0">
      <w:pPr>
        <w:spacing w:after="150" w:line="326" w:lineRule="auto"/>
        <w:jc w:val="both"/>
      </w:pPr>
      <w:r>
        <w:rPr>
          <w:rFonts w:ascii="Calibri" w:hAnsi="Calibri" w:eastAsia="微软雅黑"/>
          <w:color w:val="202A35"/>
          <w:sz w:val="22"/>
        </w:rPr>
        <w:t>AlphaEarth full v2 150k 包含 156,246 个样本、111 个国家以及完整类别概率。相较前三个任务，它同时拥有全球坐标、大样本、空间块和两套土地覆盖参考产品，因此不仅能展示 GeoBWER 是否发现尾部差距，还能研究尾部差距为什么出现、支持量如何改变发现能力，以及参考地图不确定性会不会被误写成模型公平性问题。</w:t>
      </w:r>
    </w:p>
    <w:p w14:paraId="013305D9">
      <w:pPr>
        <w:pStyle w:val="4"/>
      </w:pPr>
      <w:r>
        <w:t>实验设计</w:t>
      </w:r>
    </w:p>
    <w:p w14:paraId="0083E1BE">
      <w:pPr>
        <w:pStyle w:val="16"/>
        <w:spacing w:after="150" w:line="326" w:lineRule="auto"/>
        <w:ind w:left="547" w:hanging="274"/>
      </w:pPr>
      <w:r>
        <w:rPr>
          <w:rFonts w:ascii="Calibri" w:hAnsi="Calibri" w:eastAsia="微软雅黑"/>
          <w:color w:val="202A35"/>
          <w:sz w:val="21"/>
        </w:rPr>
        <w:t>按空间块划分 train、calibration 和 test，避免相邻位置随机分割造成过度乐观。</w:t>
      </w:r>
    </w:p>
    <w:p w14:paraId="54311255">
      <w:pPr>
        <w:pStyle w:val="16"/>
        <w:spacing w:after="150" w:line="326" w:lineRule="auto"/>
        <w:ind w:left="547" w:hanging="274"/>
      </w:pPr>
      <w:r>
        <w:rPr>
          <w:rFonts w:ascii="Calibri" w:hAnsi="Calibri" w:eastAsia="微软雅黑"/>
          <w:color w:val="202A35"/>
          <w:sz w:val="21"/>
        </w:rPr>
        <w:t>审计 country、class、country×class 和 spatial block，并进行多随机种子与样本规模敏感性。</w:t>
      </w:r>
    </w:p>
    <w:p w14:paraId="776AF9D5">
      <w:pPr>
        <w:pStyle w:val="16"/>
        <w:spacing w:after="150" w:line="326" w:lineRule="auto"/>
        <w:ind w:left="547" w:hanging="274"/>
      </w:pPr>
      <w:r>
        <w:rPr>
          <w:rFonts w:ascii="Calibri" w:hAnsi="Calibri" w:eastAsia="微软雅黑"/>
          <w:color w:val="202A35"/>
          <w:sz w:val="21"/>
        </w:rPr>
        <w:t>以 ESA WorldCover 作为主要评价参考，同时使用 Dynamic World 识别参考产品分歧与语义模糊区域。</w:t>
      </w:r>
    </w:p>
    <w:p w14:paraId="7C31550B">
      <w:pPr>
        <w:pStyle w:val="16"/>
        <w:spacing w:after="150" w:line="326" w:lineRule="auto"/>
        <w:ind w:left="547" w:hanging="274"/>
      </w:pPr>
      <w:r>
        <w:rPr>
          <w:rFonts w:ascii="Calibri" w:hAnsi="Calibri" w:eastAsia="微软雅黑"/>
          <w:color w:val="202A35"/>
          <w:sz w:val="21"/>
        </w:rPr>
        <w:t>从同一完整概率资产派生 Raw、Standardised、Selective、split conformal 和地理局部 comparator，避免重复推理。</w:t>
      </w:r>
    </w:p>
    <w:p w14:paraId="1553E9A4">
      <w:pPr>
        <w:pStyle w:val="4"/>
      </w:pPr>
      <w:r>
        <w:t>一个重要发现：参考地图不是无噪声真值</w:t>
      </w:r>
    </w:p>
    <w:p w14:paraId="5E9AE933">
      <w:pPr>
        <w:spacing w:after="150" w:line="326" w:lineRule="auto"/>
        <w:jc w:val="both"/>
      </w:pPr>
      <w:r>
        <w:rPr>
          <w:rFonts w:ascii="Calibri" w:hAnsi="Calibri" w:eastAsia="微软雅黑"/>
          <w:color w:val="202A35"/>
          <w:sz w:val="22"/>
        </w:rPr>
        <w:t>WorldCover 与 Dynamic World 的一致率约为 50.3%。这意味着模型与 WorldCover 不一致时，不能自动把全部差异解释为“模型错误”或“模型对某国不公平”。一部分差异可能来自时间不一致、空间分辨率、土地覆盖定义或地图产品自身误差。新版因此把该风险表述为 map disagreement / evaluation-reference risk，并检查差距是否在两套参考产品一致区域仍然存在。</w:t>
      </w:r>
    </w:p>
    <w:p w14:paraId="0573B286">
      <w:pPr>
        <w:pBdr>
          <w:left w:val="single" w:color="2E74B5" w:sz="16" w:space="7"/>
        </w:pBdr>
        <w:shd w:val="clear" w:fill="F5F8FB"/>
        <w:spacing w:before="60" w:after="160" w:line="307" w:lineRule="auto"/>
        <w:ind w:left="144" w:right="58"/>
      </w:pPr>
      <w:r>
        <w:rPr>
          <w:rFonts w:ascii="Calibri" w:hAnsi="Calibri" w:eastAsia="微软雅黑"/>
          <w:b/>
          <w:color w:val="17365D"/>
          <w:sz w:val="21"/>
        </w:rPr>
        <w:t xml:space="preserve">一个具体情境： </w:t>
      </w:r>
      <w:r>
        <w:rPr>
          <w:rFonts w:ascii="Calibri" w:hAnsi="Calibri" w:eastAsia="微软雅黑"/>
          <w:color w:val="202A35"/>
          <w:sz w:val="21"/>
        </w:rPr>
        <w:t>某国大量区域处于草地—灌木地过渡带。WorldCover 标为草地，Dynamic World 标为灌木地，而模型也预测灌木地。旧叙事会把它算作该国模型错误；新版会把它标记为参考图歧义，并比较“产品一致区”和“产品分歧区”的风险。如果尾部主要来自分歧区，结论应是地图协议不确定性分布不均，而不是直接指控模型偏见。</w:t>
      </w:r>
    </w:p>
    <w:p w14:paraId="5AE83066">
      <w:pPr>
        <w:pStyle w:val="4"/>
      </w:pPr>
      <w:r>
        <w:t>AlphaEarth 在论文中的角色</w:t>
      </w:r>
    </w:p>
    <w:p w14:paraId="6EDBDD52">
      <w:pPr>
        <w:spacing w:after="150" w:line="326" w:lineRule="auto"/>
        <w:jc w:val="both"/>
      </w:pPr>
      <w:r>
        <w:rPr>
          <w:rFonts w:ascii="Calibri" w:hAnsi="Calibri" w:eastAsia="微软雅黑"/>
          <w:color w:val="202A35"/>
          <w:sz w:val="22"/>
        </w:rPr>
        <w:t>Sen1 展示小样本事件尾部，fMoW 展示现实稀疏交叉切片，reBEN 展示传感器模态机制；AlphaEarth 则提供支持更密集的全球场景。它有机会给出非零 LCB、较完整的切片覆盖和空间 coverage debt，从而证明 GeoBWER 不只是诚实地报告“数据不足”，也能在数据支持充分时认证实质性差距。</w:t>
      </w:r>
    </w:p>
    <w:p w14:paraId="2C43D13B">
      <w:r>
        <w:br w:type="page"/>
      </w:r>
    </w:p>
    <w:p w14:paraId="4C28D305">
      <w:pPr>
        <w:pStyle w:val="3"/>
      </w:pPr>
      <w:r>
        <w:t>8. reBEN：升级后的框架已经发现了什么</w:t>
      </w:r>
    </w:p>
    <w:p w14:paraId="7519932C">
      <w:pPr>
        <w:spacing w:after="150" w:line="326" w:lineRule="auto"/>
        <w:jc w:val="both"/>
      </w:pPr>
      <w:r>
        <w:rPr>
          <w:rFonts w:ascii="Calibri" w:hAnsi="Calibri" w:eastAsia="微软雅黑"/>
          <w:color w:val="202A35"/>
          <w:sz w:val="22"/>
        </w:rPr>
        <w:t>reBEN 正式面板已经完成：CROMA、TerraMind 与监督 ResNet-50，在 S1、S2、S1+S2 三种输入和三个随机种子下共 27 次运行。下表为三 seed 均值，风险与 GeoBWER 均为越低越好。它第一次让“平均表现、国家尾部、风险控制和服务覆盖”在同一受控实验中同时可比较。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1224"/>
        <w:gridCol w:w="1944"/>
        <w:gridCol w:w="1944"/>
        <w:gridCol w:w="2016"/>
      </w:tblGrid>
      <w:tr w14:paraId="0DD36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32" w:type="dxa"/>
            <w:shd w:val="clear" w:color="auto" w:fill="EAF2F8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66B1E76D">
            <w:pPr>
              <w:spacing w:after="0" w:line="283" w:lineRule="auto"/>
              <w:jc w:val="center"/>
            </w:pPr>
            <w:r>
              <w:rPr>
                <w:rFonts w:ascii="Calibri" w:hAnsi="Calibri" w:eastAsia="微软雅黑"/>
                <w:b/>
                <w:color w:val="17365D"/>
                <w:sz w:val="17"/>
              </w:rPr>
              <w:t>模型管线</w:t>
            </w:r>
          </w:p>
        </w:tc>
        <w:tc>
          <w:tcPr>
            <w:tcW w:w="1224" w:type="dxa"/>
            <w:shd w:val="clear" w:color="auto" w:fill="EAF2F8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202D2CFB">
            <w:pPr>
              <w:spacing w:after="0" w:line="283" w:lineRule="auto"/>
              <w:jc w:val="center"/>
            </w:pPr>
            <w:r>
              <w:rPr>
                <w:rFonts w:ascii="Calibri" w:hAnsi="Calibri" w:eastAsia="微软雅黑"/>
                <w:b/>
                <w:color w:val="17365D"/>
                <w:sz w:val="17"/>
              </w:rPr>
              <w:t>模态</w:t>
            </w:r>
          </w:p>
        </w:tc>
        <w:tc>
          <w:tcPr>
            <w:tcW w:w="1944" w:type="dxa"/>
            <w:shd w:val="clear" w:color="auto" w:fill="EAF2F8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46E0BFFA">
            <w:pPr>
              <w:spacing w:after="0" w:line="283" w:lineRule="auto"/>
              <w:jc w:val="center"/>
            </w:pPr>
            <w:r>
              <w:rPr>
                <w:rFonts w:ascii="Calibri" w:hAnsi="Calibri" w:eastAsia="微软雅黑"/>
                <w:b/>
                <w:color w:val="17365D"/>
                <w:sz w:val="17"/>
              </w:rPr>
              <w:t>样本风险</w:t>
            </w:r>
          </w:p>
        </w:tc>
        <w:tc>
          <w:tcPr>
            <w:tcW w:w="1944" w:type="dxa"/>
            <w:shd w:val="clear" w:color="auto" w:fill="EAF2F8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0170CC25">
            <w:pPr>
              <w:spacing w:after="0" w:line="283" w:lineRule="auto"/>
              <w:jc w:val="center"/>
            </w:pPr>
            <w:r>
              <w:rPr>
                <w:rFonts w:ascii="Calibri" w:hAnsi="Calibri" w:eastAsia="微软雅黑"/>
                <w:b/>
                <w:color w:val="17365D"/>
                <w:sz w:val="17"/>
              </w:rPr>
              <w:t>尾部风险</w:t>
            </w:r>
          </w:p>
        </w:tc>
        <w:tc>
          <w:tcPr>
            <w:tcW w:w="2016" w:type="dxa"/>
            <w:shd w:val="clear" w:color="auto" w:fill="EAF2F8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3A9501F0">
            <w:pPr>
              <w:spacing w:after="0" w:line="283" w:lineRule="auto"/>
              <w:jc w:val="center"/>
            </w:pPr>
            <w:r>
              <w:rPr>
                <w:rFonts w:ascii="Calibri" w:hAnsi="Calibri" w:eastAsia="微软雅黑"/>
                <w:b/>
                <w:color w:val="17365D"/>
                <w:sz w:val="17"/>
              </w:rPr>
              <w:t>GeoBWER</w:t>
            </w:r>
          </w:p>
        </w:tc>
      </w:tr>
      <w:tr w14:paraId="342DA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56542837">
            <w:pPr>
              <w:spacing w:after="0" w:line="283" w:lineRule="auto"/>
            </w:pPr>
            <w:r>
              <w:rPr>
                <w:rFonts w:ascii="Calibri" w:hAnsi="Calibri" w:eastAsia="微软雅黑"/>
                <w:b/>
                <w:color w:val="17365D"/>
                <w:sz w:val="17"/>
              </w:rPr>
              <w:t>ResNet-50</w:t>
            </w:r>
          </w:p>
        </w:tc>
        <w:tc>
          <w:tcPr>
            <w:tcW w:w="1224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38B3A3DC">
            <w:pPr>
              <w:spacing w:after="0" w:line="283" w:lineRule="auto"/>
            </w:pPr>
            <w:r>
              <w:rPr>
                <w:rFonts w:ascii="Calibri" w:hAnsi="Calibri" w:eastAsia="微软雅黑"/>
                <w:b w:val="0"/>
                <w:color w:val="202A35"/>
                <w:sz w:val="17"/>
              </w:rPr>
              <w:t>S1</w:t>
            </w:r>
          </w:p>
        </w:tc>
        <w:tc>
          <w:tcPr>
            <w:tcW w:w="1944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3DCD9FD7">
            <w:pPr>
              <w:spacing w:after="0" w:line="283" w:lineRule="auto"/>
            </w:pPr>
            <w:r>
              <w:rPr>
                <w:rFonts w:ascii="Calibri" w:hAnsi="Calibri" w:eastAsia="微软雅黑"/>
                <w:b w:val="0"/>
                <w:color w:val="202A35"/>
                <w:sz w:val="17"/>
              </w:rPr>
              <w:t>0.1281</w:t>
            </w:r>
          </w:p>
        </w:tc>
        <w:tc>
          <w:tcPr>
            <w:tcW w:w="1944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00F824AE">
            <w:pPr>
              <w:spacing w:after="0" w:line="283" w:lineRule="auto"/>
            </w:pPr>
            <w:r>
              <w:rPr>
                <w:rFonts w:ascii="Calibri" w:hAnsi="Calibri" w:eastAsia="微软雅黑"/>
                <w:b w:val="0"/>
                <w:color w:val="202A35"/>
                <w:sz w:val="17"/>
              </w:rPr>
              <w:t>0.1931</w:t>
            </w:r>
          </w:p>
        </w:tc>
        <w:tc>
          <w:tcPr>
            <w:tcW w:w="2016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4CCB1669">
            <w:pPr>
              <w:spacing w:after="0" w:line="283" w:lineRule="auto"/>
            </w:pPr>
            <w:r>
              <w:rPr>
                <w:rFonts w:ascii="Calibri" w:hAnsi="Calibri" w:eastAsia="微软雅黑"/>
                <w:b w:val="0"/>
                <w:color w:val="202A35"/>
                <w:sz w:val="17"/>
              </w:rPr>
              <w:t>0.0488</w:t>
            </w:r>
          </w:p>
        </w:tc>
      </w:tr>
      <w:tr w14:paraId="0252C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shd w:val="clear" w:color="auto" w:fill="FAFBFC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0C5A6D69">
            <w:pPr>
              <w:spacing w:after="0" w:line="283" w:lineRule="auto"/>
            </w:pPr>
            <w:r>
              <w:rPr>
                <w:rFonts w:ascii="Calibri" w:hAnsi="Calibri" w:eastAsia="微软雅黑"/>
                <w:b/>
                <w:color w:val="17365D"/>
                <w:sz w:val="17"/>
              </w:rPr>
              <w:t>ResNet-50</w:t>
            </w:r>
          </w:p>
        </w:tc>
        <w:tc>
          <w:tcPr>
            <w:tcW w:w="1224" w:type="dxa"/>
            <w:shd w:val="clear" w:color="auto" w:fill="FAFBFC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4B86C0C3">
            <w:pPr>
              <w:spacing w:after="0" w:line="283" w:lineRule="auto"/>
            </w:pPr>
            <w:r>
              <w:rPr>
                <w:rFonts w:ascii="Calibri" w:hAnsi="Calibri" w:eastAsia="微软雅黑"/>
                <w:b w:val="0"/>
                <w:color w:val="202A35"/>
                <w:sz w:val="17"/>
              </w:rPr>
              <w:t>S2</w:t>
            </w:r>
          </w:p>
        </w:tc>
        <w:tc>
          <w:tcPr>
            <w:tcW w:w="1944" w:type="dxa"/>
            <w:shd w:val="clear" w:color="auto" w:fill="FAFBFC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46F38265">
            <w:pPr>
              <w:spacing w:after="0" w:line="283" w:lineRule="auto"/>
            </w:pPr>
            <w:r>
              <w:rPr>
                <w:rFonts w:ascii="Calibri" w:hAnsi="Calibri" w:eastAsia="微软雅黑"/>
                <w:b w:val="0"/>
                <w:color w:val="202A35"/>
                <w:sz w:val="17"/>
              </w:rPr>
              <w:t>0.0927</w:t>
            </w:r>
          </w:p>
        </w:tc>
        <w:tc>
          <w:tcPr>
            <w:tcW w:w="1944" w:type="dxa"/>
            <w:shd w:val="clear" w:color="auto" w:fill="FAFBFC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76C55123">
            <w:pPr>
              <w:spacing w:after="0" w:line="283" w:lineRule="auto"/>
            </w:pPr>
            <w:r>
              <w:rPr>
                <w:rFonts w:ascii="Calibri" w:hAnsi="Calibri" w:eastAsia="微软雅黑"/>
                <w:b w:val="0"/>
                <w:color w:val="202A35"/>
                <w:sz w:val="17"/>
              </w:rPr>
              <w:t>0.1409</w:t>
            </w:r>
          </w:p>
        </w:tc>
        <w:tc>
          <w:tcPr>
            <w:tcW w:w="2016" w:type="dxa"/>
            <w:shd w:val="clear" w:color="auto" w:fill="FAFBFC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6615C470">
            <w:pPr>
              <w:spacing w:after="0" w:line="283" w:lineRule="auto"/>
            </w:pPr>
            <w:r>
              <w:rPr>
                <w:rFonts w:ascii="Calibri" w:hAnsi="Calibri" w:eastAsia="微软雅黑"/>
                <w:b w:val="0"/>
                <w:color w:val="202A35"/>
                <w:sz w:val="17"/>
              </w:rPr>
              <w:t>0.0400</w:t>
            </w:r>
          </w:p>
        </w:tc>
      </w:tr>
      <w:tr w14:paraId="230AD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4133A872">
            <w:pPr>
              <w:spacing w:after="0" w:line="283" w:lineRule="auto"/>
            </w:pPr>
            <w:r>
              <w:rPr>
                <w:rFonts w:ascii="Calibri" w:hAnsi="Calibri" w:eastAsia="微软雅黑"/>
                <w:b/>
                <w:color w:val="17365D"/>
                <w:sz w:val="17"/>
              </w:rPr>
              <w:t>ResNet-50</w:t>
            </w:r>
          </w:p>
        </w:tc>
        <w:tc>
          <w:tcPr>
            <w:tcW w:w="1224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30ACE2F4">
            <w:pPr>
              <w:spacing w:after="0" w:line="283" w:lineRule="auto"/>
            </w:pPr>
            <w:r>
              <w:rPr>
                <w:rFonts w:ascii="Calibri" w:hAnsi="Calibri" w:eastAsia="微软雅黑"/>
                <w:b w:val="0"/>
                <w:color w:val="202A35"/>
                <w:sz w:val="17"/>
              </w:rPr>
              <w:t>S1+S2</w:t>
            </w:r>
          </w:p>
        </w:tc>
        <w:tc>
          <w:tcPr>
            <w:tcW w:w="1944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77FFF7FE">
            <w:pPr>
              <w:spacing w:after="0" w:line="283" w:lineRule="auto"/>
            </w:pPr>
            <w:r>
              <w:rPr>
                <w:rFonts w:ascii="Calibri" w:hAnsi="Calibri" w:eastAsia="微软雅黑"/>
                <w:b w:val="0"/>
                <w:color w:val="202A35"/>
                <w:sz w:val="17"/>
              </w:rPr>
              <w:t>0.0876</w:t>
            </w:r>
          </w:p>
        </w:tc>
        <w:tc>
          <w:tcPr>
            <w:tcW w:w="1944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5A7E3172">
            <w:pPr>
              <w:spacing w:after="0" w:line="283" w:lineRule="auto"/>
            </w:pPr>
            <w:r>
              <w:rPr>
                <w:rFonts w:ascii="Calibri" w:hAnsi="Calibri" w:eastAsia="微软雅黑"/>
                <w:b w:val="0"/>
                <w:color w:val="202A35"/>
                <w:sz w:val="17"/>
              </w:rPr>
              <w:t>0.1325</w:t>
            </w:r>
          </w:p>
        </w:tc>
        <w:tc>
          <w:tcPr>
            <w:tcW w:w="2016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2C257EF2">
            <w:pPr>
              <w:spacing w:after="0" w:line="283" w:lineRule="auto"/>
            </w:pPr>
            <w:r>
              <w:rPr>
                <w:rFonts w:ascii="Calibri" w:hAnsi="Calibri" w:eastAsia="微软雅黑"/>
                <w:b w:val="0"/>
                <w:color w:val="202A35"/>
                <w:sz w:val="17"/>
              </w:rPr>
              <w:t>0.0371</w:t>
            </w:r>
          </w:p>
        </w:tc>
      </w:tr>
      <w:tr w14:paraId="24B4F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shd w:val="clear" w:color="auto" w:fill="FAFBFC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3258DE07">
            <w:pPr>
              <w:spacing w:after="0" w:line="283" w:lineRule="auto"/>
            </w:pPr>
            <w:r>
              <w:rPr>
                <w:rFonts w:ascii="Calibri" w:hAnsi="Calibri" w:eastAsia="微软雅黑"/>
                <w:b/>
                <w:color w:val="17365D"/>
                <w:sz w:val="17"/>
              </w:rPr>
              <w:t>CROMA</w:t>
            </w:r>
          </w:p>
        </w:tc>
        <w:tc>
          <w:tcPr>
            <w:tcW w:w="1224" w:type="dxa"/>
            <w:shd w:val="clear" w:color="auto" w:fill="FAFBFC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670784D9">
            <w:pPr>
              <w:spacing w:after="0" w:line="283" w:lineRule="auto"/>
            </w:pPr>
            <w:r>
              <w:rPr>
                <w:rFonts w:ascii="Calibri" w:hAnsi="Calibri" w:eastAsia="微软雅黑"/>
                <w:b w:val="0"/>
                <w:color w:val="202A35"/>
                <w:sz w:val="17"/>
              </w:rPr>
              <w:t>S1</w:t>
            </w:r>
          </w:p>
        </w:tc>
        <w:tc>
          <w:tcPr>
            <w:tcW w:w="1944" w:type="dxa"/>
            <w:shd w:val="clear" w:color="auto" w:fill="FAFBFC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6B81268A">
            <w:pPr>
              <w:spacing w:after="0" w:line="283" w:lineRule="auto"/>
            </w:pPr>
            <w:r>
              <w:rPr>
                <w:rFonts w:ascii="Calibri" w:hAnsi="Calibri" w:eastAsia="微软雅黑"/>
                <w:b w:val="0"/>
                <w:color w:val="202A35"/>
                <w:sz w:val="17"/>
              </w:rPr>
              <w:t>0.1065</w:t>
            </w:r>
          </w:p>
        </w:tc>
        <w:tc>
          <w:tcPr>
            <w:tcW w:w="1944" w:type="dxa"/>
            <w:shd w:val="clear" w:color="auto" w:fill="FAFBFC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079343AD">
            <w:pPr>
              <w:spacing w:after="0" w:line="283" w:lineRule="auto"/>
            </w:pPr>
            <w:r>
              <w:rPr>
                <w:rFonts w:ascii="Calibri" w:hAnsi="Calibri" w:eastAsia="微软雅黑"/>
                <w:b w:val="0"/>
                <w:color w:val="202A35"/>
                <w:sz w:val="17"/>
              </w:rPr>
              <w:t>0.1583</w:t>
            </w:r>
          </w:p>
        </w:tc>
        <w:tc>
          <w:tcPr>
            <w:tcW w:w="2016" w:type="dxa"/>
            <w:shd w:val="clear" w:color="auto" w:fill="FAFBFC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51DC379F">
            <w:pPr>
              <w:spacing w:after="0" w:line="283" w:lineRule="auto"/>
            </w:pPr>
            <w:r>
              <w:rPr>
                <w:rFonts w:ascii="Calibri" w:hAnsi="Calibri" w:eastAsia="微软雅黑"/>
                <w:b w:val="0"/>
                <w:color w:val="202A35"/>
                <w:sz w:val="17"/>
              </w:rPr>
              <w:t>0.0391</w:t>
            </w:r>
          </w:p>
        </w:tc>
      </w:tr>
      <w:tr w14:paraId="47AC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57B61C45">
            <w:pPr>
              <w:spacing w:after="0" w:line="283" w:lineRule="auto"/>
            </w:pPr>
            <w:r>
              <w:rPr>
                <w:rFonts w:ascii="Calibri" w:hAnsi="Calibri" w:eastAsia="微软雅黑"/>
                <w:b/>
                <w:color w:val="17365D"/>
                <w:sz w:val="17"/>
              </w:rPr>
              <w:t>CROMA</w:t>
            </w:r>
          </w:p>
        </w:tc>
        <w:tc>
          <w:tcPr>
            <w:tcW w:w="1224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44D60E71">
            <w:pPr>
              <w:spacing w:after="0" w:line="283" w:lineRule="auto"/>
            </w:pPr>
            <w:r>
              <w:rPr>
                <w:rFonts w:ascii="Calibri" w:hAnsi="Calibri" w:eastAsia="微软雅黑"/>
                <w:b w:val="0"/>
                <w:color w:val="202A35"/>
                <w:sz w:val="17"/>
              </w:rPr>
              <w:t>S2</w:t>
            </w:r>
          </w:p>
        </w:tc>
        <w:tc>
          <w:tcPr>
            <w:tcW w:w="1944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24690331">
            <w:pPr>
              <w:spacing w:after="0" w:line="283" w:lineRule="auto"/>
            </w:pPr>
            <w:r>
              <w:rPr>
                <w:rFonts w:ascii="Calibri" w:hAnsi="Calibri" w:eastAsia="微软雅黑"/>
                <w:b w:val="0"/>
                <w:color w:val="202A35"/>
                <w:sz w:val="17"/>
              </w:rPr>
              <w:t>0.0925</w:t>
            </w:r>
          </w:p>
        </w:tc>
        <w:tc>
          <w:tcPr>
            <w:tcW w:w="1944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4EFAB95A">
            <w:pPr>
              <w:spacing w:after="0" w:line="283" w:lineRule="auto"/>
            </w:pPr>
            <w:r>
              <w:rPr>
                <w:rFonts w:ascii="Calibri" w:hAnsi="Calibri" w:eastAsia="微软雅黑"/>
                <w:b w:val="0"/>
                <w:color w:val="202A35"/>
                <w:sz w:val="17"/>
              </w:rPr>
              <w:t>0.1380</w:t>
            </w:r>
          </w:p>
        </w:tc>
        <w:tc>
          <w:tcPr>
            <w:tcW w:w="2016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67AD2089">
            <w:pPr>
              <w:spacing w:after="0" w:line="283" w:lineRule="auto"/>
            </w:pPr>
            <w:r>
              <w:rPr>
                <w:rFonts w:ascii="Calibri" w:hAnsi="Calibri" w:eastAsia="微软雅黑"/>
                <w:b w:val="0"/>
                <w:color w:val="202A35"/>
                <w:sz w:val="17"/>
              </w:rPr>
              <w:t>0.0375</w:t>
            </w:r>
          </w:p>
        </w:tc>
      </w:tr>
      <w:tr w14:paraId="2145F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shd w:val="clear" w:color="auto" w:fill="FAFBFC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454F4393">
            <w:pPr>
              <w:spacing w:after="0" w:line="283" w:lineRule="auto"/>
            </w:pPr>
            <w:r>
              <w:rPr>
                <w:rFonts w:ascii="Calibri" w:hAnsi="Calibri" w:eastAsia="微软雅黑"/>
                <w:b/>
                <w:color w:val="17365D"/>
                <w:sz w:val="17"/>
              </w:rPr>
              <w:t>CROMA</w:t>
            </w:r>
          </w:p>
        </w:tc>
        <w:tc>
          <w:tcPr>
            <w:tcW w:w="1224" w:type="dxa"/>
            <w:shd w:val="clear" w:color="auto" w:fill="FAFBFC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428EE6C0">
            <w:pPr>
              <w:spacing w:after="0" w:line="283" w:lineRule="auto"/>
            </w:pPr>
            <w:r>
              <w:rPr>
                <w:rFonts w:ascii="Calibri" w:hAnsi="Calibri" w:eastAsia="微软雅黑"/>
                <w:b w:val="0"/>
                <w:color w:val="202A35"/>
                <w:sz w:val="17"/>
              </w:rPr>
              <w:t>S1+S2</w:t>
            </w:r>
          </w:p>
        </w:tc>
        <w:tc>
          <w:tcPr>
            <w:tcW w:w="1944" w:type="dxa"/>
            <w:shd w:val="clear" w:color="auto" w:fill="FAFBFC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337D08F5">
            <w:pPr>
              <w:spacing w:after="0" w:line="283" w:lineRule="auto"/>
            </w:pPr>
            <w:r>
              <w:rPr>
                <w:rFonts w:ascii="Calibri" w:hAnsi="Calibri" w:eastAsia="微软雅黑"/>
                <w:b w:val="0"/>
                <w:color w:val="202A35"/>
                <w:sz w:val="17"/>
              </w:rPr>
              <w:t>0.0870</w:t>
            </w:r>
          </w:p>
        </w:tc>
        <w:tc>
          <w:tcPr>
            <w:tcW w:w="1944" w:type="dxa"/>
            <w:shd w:val="clear" w:color="auto" w:fill="FAFBFC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73487C16">
            <w:pPr>
              <w:spacing w:after="0" w:line="283" w:lineRule="auto"/>
            </w:pPr>
            <w:r>
              <w:rPr>
                <w:rFonts w:ascii="Calibri" w:hAnsi="Calibri" w:eastAsia="微软雅黑"/>
                <w:b w:val="0"/>
                <w:color w:val="202A35"/>
                <w:sz w:val="17"/>
              </w:rPr>
              <w:t>0.1315</w:t>
            </w:r>
          </w:p>
        </w:tc>
        <w:tc>
          <w:tcPr>
            <w:tcW w:w="2016" w:type="dxa"/>
            <w:shd w:val="clear" w:color="auto" w:fill="FAFBFC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7CFE7188">
            <w:pPr>
              <w:spacing w:after="0" w:line="283" w:lineRule="auto"/>
            </w:pPr>
            <w:r>
              <w:rPr>
                <w:rFonts w:ascii="Calibri" w:hAnsi="Calibri" w:eastAsia="微软雅黑"/>
                <w:b w:val="0"/>
                <w:color w:val="202A35"/>
                <w:sz w:val="17"/>
              </w:rPr>
              <w:t>0.0366</w:t>
            </w:r>
          </w:p>
        </w:tc>
      </w:tr>
      <w:tr w14:paraId="3130A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71A203E7">
            <w:pPr>
              <w:spacing w:after="0" w:line="283" w:lineRule="auto"/>
            </w:pPr>
            <w:r>
              <w:rPr>
                <w:rFonts w:ascii="Calibri" w:hAnsi="Calibri" w:eastAsia="微软雅黑"/>
                <w:b/>
                <w:color w:val="17365D"/>
                <w:sz w:val="17"/>
              </w:rPr>
              <w:t>TerraMind</w:t>
            </w:r>
          </w:p>
        </w:tc>
        <w:tc>
          <w:tcPr>
            <w:tcW w:w="1224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3492E313">
            <w:pPr>
              <w:spacing w:after="0" w:line="283" w:lineRule="auto"/>
            </w:pPr>
            <w:r>
              <w:rPr>
                <w:rFonts w:ascii="Calibri" w:hAnsi="Calibri" w:eastAsia="微软雅黑"/>
                <w:b w:val="0"/>
                <w:color w:val="202A35"/>
                <w:sz w:val="17"/>
              </w:rPr>
              <w:t>S1</w:t>
            </w:r>
          </w:p>
        </w:tc>
        <w:tc>
          <w:tcPr>
            <w:tcW w:w="1944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213CA0D8">
            <w:pPr>
              <w:spacing w:after="0" w:line="283" w:lineRule="auto"/>
            </w:pPr>
            <w:r>
              <w:rPr>
                <w:rFonts w:ascii="Calibri" w:hAnsi="Calibri" w:eastAsia="微软雅黑"/>
                <w:b w:val="0"/>
                <w:color w:val="202A35"/>
                <w:sz w:val="17"/>
              </w:rPr>
              <w:t>0.1121</w:t>
            </w:r>
          </w:p>
        </w:tc>
        <w:tc>
          <w:tcPr>
            <w:tcW w:w="1944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2ABE9624">
            <w:pPr>
              <w:spacing w:after="0" w:line="283" w:lineRule="auto"/>
            </w:pPr>
            <w:r>
              <w:rPr>
                <w:rFonts w:ascii="Calibri" w:hAnsi="Calibri" w:eastAsia="微软雅黑"/>
                <w:b w:val="0"/>
                <w:color w:val="202A35"/>
                <w:sz w:val="17"/>
              </w:rPr>
              <w:t>0.1718</w:t>
            </w:r>
          </w:p>
        </w:tc>
        <w:tc>
          <w:tcPr>
            <w:tcW w:w="2016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302AF444">
            <w:pPr>
              <w:spacing w:after="0" w:line="283" w:lineRule="auto"/>
            </w:pPr>
            <w:r>
              <w:rPr>
                <w:rFonts w:ascii="Calibri" w:hAnsi="Calibri" w:eastAsia="微软雅黑"/>
                <w:b w:val="0"/>
                <w:color w:val="202A35"/>
                <w:sz w:val="17"/>
              </w:rPr>
              <w:t>0.0442</w:t>
            </w:r>
          </w:p>
        </w:tc>
      </w:tr>
      <w:tr w14:paraId="6149F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shd w:val="clear" w:color="auto" w:fill="FAFBFC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14092838">
            <w:pPr>
              <w:spacing w:after="0" w:line="283" w:lineRule="auto"/>
            </w:pPr>
            <w:r>
              <w:rPr>
                <w:rFonts w:ascii="Calibri" w:hAnsi="Calibri" w:eastAsia="微软雅黑"/>
                <w:b/>
                <w:color w:val="17365D"/>
                <w:sz w:val="17"/>
              </w:rPr>
              <w:t>TerraMind</w:t>
            </w:r>
          </w:p>
        </w:tc>
        <w:tc>
          <w:tcPr>
            <w:tcW w:w="1224" w:type="dxa"/>
            <w:shd w:val="clear" w:color="auto" w:fill="FAFBFC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3F59F692">
            <w:pPr>
              <w:spacing w:after="0" w:line="283" w:lineRule="auto"/>
            </w:pPr>
            <w:r>
              <w:rPr>
                <w:rFonts w:ascii="Calibri" w:hAnsi="Calibri" w:eastAsia="微软雅黑"/>
                <w:b w:val="0"/>
                <w:color w:val="202A35"/>
                <w:sz w:val="17"/>
              </w:rPr>
              <w:t>S2</w:t>
            </w:r>
          </w:p>
        </w:tc>
        <w:tc>
          <w:tcPr>
            <w:tcW w:w="1944" w:type="dxa"/>
            <w:shd w:val="clear" w:color="auto" w:fill="FAFBFC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1A187B6B">
            <w:pPr>
              <w:spacing w:after="0" w:line="283" w:lineRule="auto"/>
            </w:pPr>
            <w:r>
              <w:rPr>
                <w:rFonts w:ascii="Calibri" w:hAnsi="Calibri" w:eastAsia="微软雅黑"/>
                <w:b w:val="0"/>
                <w:color w:val="202A35"/>
                <w:sz w:val="17"/>
              </w:rPr>
              <w:t>0.0804</w:t>
            </w:r>
          </w:p>
        </w:tc>
        <w:tc>
          <w:tcPr>
            <w:tcW w:w="1944" w:type="dxa"/>
            <w:shd w:val="clear" w:color="auto" w:fill="FAFBFC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75AF47F0">
            <w:pPr>
              <w:spacing w:after="0" w:line="283" w:lineRule="auto"/>
            </w:pPr>
            <w:r>
              <w:rPr>
                <w:rFonts w:ascii="Calibri" w:hAnsi="Calibri" w:eastAsia="微软雅黑"/>
                <w:b w:val="0"/>
                <w:color w:val="202A35"/>
                <w:sz w:val="17"/>
              </w:rPr>
              <w:t>0.1193</w:t>
            </w:r>
          </w:p>
        </w:tc>
        <w:tc>
          <w:tcPr>
            <w:tcW w:w="2016" w:type="dxa"/>
            <w:shd w:val="clear" w:color="auto" w:fill="FAFBFC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23CCF281">
            <w:pPr>
              <w:spacing w:after="0" w:line="283" w:lineRule="auto"/>
            </w:pPr>
            <w:r>
              <w:rPr>
                <w:rFonts w:ascii="Calibri" w:hAnsi="Calibri" w:eastAsia="微软雅黑"/>
                <w:b w:val="0"/>
                <w:color w:val="202A35"/>
                <w:sz w:val="17"/>
              </w:rPr>
              <w:t>0.0310</w:t>
            </w:r>
          </w:p>
        </w:tc>
      </w:tr>
      <w:tr w14:paraId="00B6C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757930F0">
            <w:pPr>
              <w:spacing w:after="0" w:line="283" w:lineRule="auto"/>
            </w:pPr>
            <w:r>
              <w:rPr>
                <w:rFonts w:ascii="Calibri" w:hAnsi="Calibri" w:eastAsia="微软雅黑"/>
                <w:b/>
                <w:color w:val="17365D"/>
                <w:sz w:val="17"/>
              </w:rPr>
              <w:t>TerraMind</w:t>
            </w:r>
          </w:p>
        </w:tc>
        <w:tc>
          <w:tcPr>
            <w:tcW w:w="1224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49497CCB">
            <w:pPr>
              <w:spacing w:after="0" w:line="283" w:lineRule="auto"/>
            </w:pPr>
            <w:r>
              <w:rPr>
                <w:rFonts w:ascii="Calibri" w:hAnsi="Calibri" w:eastAsia="微软雅黑"/>
                <w:b w:val="0"/>
                <w:color w:val="202A35"/>
                <w:sz w:val="17"/>
              </w:rPr>
              <w:t>S1+S2</w:t>
            </w:r>
          </w:p>
        </w:tc>
        <w:tc>
          <w:tcPr>
            <w:tcW w:w="1944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1EFC04D3">
            <w:pPr>
              <w:spacing w:after="0" w:line="283" w:lineRule="auto"/>
            </w:pPr>
            <w:r>
              <w:rPr>
                <w:rFonts w:ascii="Calibri" w:hAnsi="Calibri" w:eastAsia="微软雅黑"/>
                <w:b w:val="0"/>
                <w:color w:val="202A35"/>
                <w:sz w:val="17"/>
              </w:rPr>
              <w:t>0.0801</w:t>
            </w:r>
          </w:p>
        </w:tc>
        <w:tc>
          <w:tcPr>
            <w:tcW w:w="1944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3326E6B8">
            <w:pPr>
              <w:spacing w:after="0" w:line="283" w:lineRule="auto"/>
            </w:pPr>
            <w:r>
              <w:rPr>
                <w:rFonts w:ascii="Calibri" w:hAnsi="Calibri" w:eastAsia="微软雅黑"/>
                <w:b w:val="0"/>
                <w:color w:val="202A35"/>
                <w:sz w:val="17"/>
              </w:rPr>
              <w:t>0.1197</w:t>
            </w:r>
          </w:p>
        </w:tc>
        <w:tc>
          <w:tcPr>
            <w:tcW w:w="2016" w:type="dxa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00B67A0B">
            <w:pPr>
              <w:spacing w:after="0" w:line="283" w:lineRule="auto"/>
            </w:pPr>
            <w:r>
              <w:rPr>
                <w:rFonts w:ascii="Calibri" w:hAnsi="Calibri" w:eastAsia="微软雅黑"/>
                <w:b w:val="0"/>
                <w:color w:val="202A35"/>
                <w:sz w:val="17"/>
              </w:rPr>
              <w:t>0.0311</w:t>
            </w:r>
          </w:p>
        </w:tc>
      </w:tr>
    </w:tbl>
    <w:p w14:paraId="77595BC2">
      <w:pPr>
        <w:spacing w:after="40"/>
      </w:pPr>
    </w:p>
    <w:p w14:paraId="446AD4AD">
      <w:pPr>
        <w:pStyle w:val="4"/>
      </w:pPr>
      <w:r>
        <w:t>这张表最值得讲的三个结果</w:t>
      </w:r>
    </w:p>
    <w:p w14:paraId="4CBB6E01">
      <w:pPr>
        <w:pStyle w:val="16"/>
        <w:spacing w:after="150" w:line="326" w:lineRule="auto"/>
        <w:ind w:left="547" w:hanging="274"/>
      </w:pPr>
      <w:r>
        <w:rPr>
          <w:rFonts w:ascii="Calibri" w:hAnsi="Calibri" w:eastAsia="微软雅黑"/>
          <w:color w:val="202A35"/>
          <w:sz w:val="21"/>
        </w:rPr>
        <w:t>光学信息的可靠性优势非常稳定：三个模型、三个 seeds、七个有支持国家组成的 63 个配对比较中，S1 风险均高于 S2；S1 与融合输入的 63 个比较也全部同方向。</w:t>
      </w:r>
    </w:p>
    <w:p w14:paraId="49B30F5C">
      <w:pPr>
        <w:pStyle w:val="16"/>
        <w:spacing w:after="150" w:line="326" w:lineRule="auto"/>
        <w:ind w:left="547" w:hanging="274"/>
      </w:pPr>
      <w:r>
        <w:rPr>
          <w:rFonts w:ascii="Calibri" w:hAnsi="Calibri" w:eastAsia="微软雅黑"/>
          <w:color w:val="202A35"/>
          <w:sz w:val="21"/>
        </w:rPr>
        <w:t>平均更好不保证尾部同步改善：TerraMind 从 S2 融合到 S1+S2 后，平均风险由 0.0804 微降至 0.0801，但尾部风险由 0.1193 微升至 0.1197；九组排名中有四组出现平均风险与 GeoBWER 排名不一致。</w:t>
      </w:r>
    </w:p>
    <w:p w14:paraId="2CE9D2AE">
      <w:pPr>
        <w:pStyle w:val="16"/>
        <w:spacing w:after="150" w:line="326" w:lineRule="auto"/>
        <w:ind w:left="547" w:hanging="274"/>
      </w:pPr>
      <w:r>
        <w:rPr>
          <w:rFonts w:ascii="Calibri" w:hAnsi="Calibri" w:eastAsia="微软雅黑"/>
          <w:color w:val="202A35"/>
          <w:sz w:val="21"/>
        </w:rPr>
        <w:t>总体承诺会掩盖地理债务：CRC 的总体风险约为 9.77%–10.70%，接近 10% 目标，但最差国家仍额外承担 3.31–8.32 个百分点的风险；Selective 的总体接受率约 50%，最差国家却只有 4.3%–24.7%。</w:t>
      </w:r>
    </w:p>
    <w:p w14:paraId="4389A905">
      <w:pPr>
        <w:pBdr>
          <w:left w:val="single" w:color="2E74B5" w:sz="16" w:space="7"/>
        </w:pBdr>
        <w:shd w:val="clear" w:fill="F5F8FB"/>
        <w:spacing w:before="60" w:after="160" w:line="307" w:lineRule="auto"/>
        <w:ind w:left="144" w:right="58"/>
      </w:pPr>
      <w:r>
        <w:rPr>
          <w:rFonts w:ascii="Calibri" w:hAnsi="Calibri" w:eastAsia="微软雅黑"/>
          <w:b/>
          <w:color w:val="17365D"/>
          <w:sz w:val="21"/>
        </w:rPr>
        <w:t xml:space="preserve">怎样证明这不是旧 BWER 换名字： </w:t>
      </w:r>
      <w:r>
        <w:rPr>
          <w:rFonts w:ascii="Calibri" w:hAnsi="Calibri" w:eastAsia="微软雅黑"/>
          <w:color w:val="202A35"/>
          <w:sz w:val="21"/>
        </w:rPr>
        <w:t>旧版主要能给出尾部点估计；新版把同一现象拆成可比较的平均风险、尾部风险、GeoBWER、目标违反和服务覆盖，并区分描述性点估计与可认证差异。当前国家级配对改善证据很强；跨模型 GeoBWER 排名仍应称为描述性，因为最保守的同时区间尚不能排除零。</w:t>
      </w:r>
    </w:p>
    <w:p w14:paraId="5D4DAC13">
      <w:pPr>
        <w:spacing w:after="150" w:line="326" w:lineRule="auto"/>
        <w:jc w:val="both"/>
      </w:pPr>
      <w:r>
        <w:rPr>
          <w:rFonts w:ascii="Calibri" w:hAnsi="Calibri" w:eastAsia="微软雅黑"/>
          <w:color w:val="202A35"/>
          <w:sz w:val="18"/>
        </w:rPr>
        <w:t>支持边界：测试集有 119,825 个样本，但正式空间推断依赖 45 个 source-tile clusters。主要点估计覆盖七个有支持国家，覆盖 97.7% 的样本、但只占等国家部署测度的 70%；因此结论应称为“七国支持全集 GeoBWER”，不能写成完整十国认证。</w:t>
      </w:r>
    </w:p>
    <w:p w14:paraId="1E23B3BA">
      <w:r>
        <w:br w:type="page"/>
      </w:r>
    </w:p>
    <w:p w14:paraId="7F66A245">
      <w:pPr>
        <w:pStyle w:val="3"/>
      </w:pPr>
      <w:r>
        <w:t>9. 四个实验如何组成一个统一的科学故事</w:t>
      </w:r>
    </w:p>
    <w:p w14:paraId="5087FD75">
      <w:pPr>
        <w:pStyle w:val="4"/>
      </w:pPr>
      <w:r>
        <w:t>Sen1Floods11：同一种灾害任务，不同事件承担的风险并不相同</w:t>
      </w:r>
    </w:p>
    <w:p w14:paraId="45AC3B6C">
      <w:pPr>
        <w:spacing w:after="150" w:line="326" w:lineRule="auto"/>
        <w:jc w:val="both"/>
      </w:pPr>
      <w:r>
        <w:rPr>
          <w:rFonts w:ascii="Calibri" w:hAnsi="Calibri" w:eastAsia="微软雅黑"/>
          <w:color w:val="202A35"/>
          <w:sz w:val="22"/>
        </w:rPr>
        <w:t>BWER1 阶段已经发现 Prithvi TL、U-Net 和 ResNet34-U-Net 的平均 IoU 与事件尾部风险并不完全一致，Bolivia、Pakistan 等事件在部分 learned models 中重复出现。新版不假设这些旧尾部一定成立，而是用同 split 的 TerraMind / U-Net 三模态面板重新检验：增加 S1 或融合 S1+S2，究竟降低平均风险、降低尾部风险，还是只改变尾部事件身份。</w:t>
      </w:r>
    </w:p>
    <w:p w14:paraId="3BEA0780">
      <w:pPr>
        <w:pStyle w:val="4"/>
      </w:pPr>
      <w:r>
        <w:t>fMoW-Sentinel：平均性能排名不等于地理尾部排名</w:t>
      </w:r>
    </w:p>
    <w:p w14:paraId="26D02CE4">
      <w:pPr>
        <w:spacing w:after="150" w:line="326" w:lineRule="auto"/>
        <w:jc w:val="both"/>
      </w:pPr>
      <w:r>
        <w:rPr>
          <w:rFonts w:ascii="Calibri" w:hAnsi="Calibri" w:eastAsia="微软雅黑"/>
          <w:color w:val="202A35"/>
          <w:sz w:val="22"/>
        </w:rPr>
        <w:t>fMoW 的价值在于 62 类、位置不相交和国家支持极不均衡。旧结果提示 RSFM 与监督基线可能出现平均准确率和尾部公平性的排名分离。新版用 DOFAv2 与 common-9-band ResNet-50、三个随机种子和共同支持配对区间，判断这种排名反转能否从点估计现象升级为正式结论。Country×Class 仍保留为 supported-cell exploratory analysis，不冒充完整的全球交叉公平审计。</w:t>
      </w:r>
    </w:p>
    <w:p w14:paraId="4EFCE9B5">
      <w:pPr>
        <w:pStyle w:val="4"/>
      </w:pPr>
      <w:r>
        <w:t>reBEN：融合模态是否真的缓解尾部风险</w:t>
      </w:r>
    </w:p>
    <w:p w14:paraId="370458A8">
      <w:pPr>
        <w:spacing w:after="150" w:line="326" w:lineRule="auto"/>
        <w:jc w:val="both"/>
      </w:pPr>
      <w:r>
        <w:rPr>
          <w:rFonts w:ascii="Calibri" w:hAnsi="Calibri" w:eastAsia="微软雅黑"/>
          <w:color w:val="202A35"/>
          <w:sz w:val="22"/>
        </w:rPr>
        <w:t>完成的 27-run 因子面板显示，S2 相对 S1 的改善跨三个模型、三个 seeds 和全部有支持国家稳定成立；但融合并非总能同时改善平均与尾部。CROMA 在 S1 条件最好，TerraMind 在 S2 与融合条件整体最好，而 TerraMind 融合还出现“平均略好、尾部略差”。因此结论不是笼统的“融合一定更公平”，而是光学信息优势稳定、融合收益具有模型与风险层级依赖性。</w:t>
      </w:r>
    </w:p>
    <w:p w14:paraId="1DD203E2">
      <w:pPr>
        <w:pStyle w:val="4"/>
      </w:pPr>
      <w:r>
        <w:t>AlphaEarth：全球平均可靠不等于局部覆盖承诺被公平兑现</w:t>
      </w:r>
    </w:p>
    <w:p w14:paraId="5739E3FA">
      <w:pPr>
        <w:spacing w:after="150" w:line="326" w:lineRule="auto"/>
        <w:jc w:val="both"/>
      </w:pPr>
      <w:r>
        <w:rPr>
          <w:rFonts w:ascii="Calibri" w:hAnsi="Calibri" w:eastAsia="微软雅黑"/>
          <w:color w:val="202A35"/>
          <w:sz w:val="22"/>
        </w:rPr>
        <w:t>AlphaEarth 把项目从任务性能扩展到全球地图协议与不确定性。它检验国家、类别、空间块和参考图歧义如何共同塑造尾部风险，并用 Conformal-GeoBWER 追踪 coverage debt。四个任务因而不是四个松散案例，而是对同一问题的四种压力测试：小 G 事件、稀疏地理交叉、模态机制和大规模全球空间转移。</w:t>
      </w:r>
    </w:p>
    <w:p w14:paraId="40878515">
      <w:pPr>
        <w:pBdr>
          <w:left w:val="single" w:color="2E74B5" w:sz="16" w:space="7"/>
        </w:pBdr>
        <w:shd w:val="clear" w:fill="F5F8FB"/>
        <w:spacing w:before="60" w:after="160" w:line="307" w:lineRule="auto"/>
        <w:ind w:left="144" w:right="58"/>
      </w:pPr>
      <w:r>
        <w:rPr>
          <w:rFonts w:ascii="Calibri" w:hAnsi="Calibri" w:eastAsia="微软雅黑"/>
          <w:b/>
          <w:color w:val="17365D"/>
          <w:sz w:val="21"/>
        </w:rPr>
        <w:t xml:space="preserve">整篇论文最希望形成的经验结论： </w:t>
      </w:r>
      <w:r>
        <w:rPr>
          <w:rFonts w:ascii="Calibri" w:hAnsi="Calibri" w:eastAsia="微软雅黑"/>
          <w:color w:val="202A35"/>
          <w:sz w:val="21"/>
        </w:rPr>
        <w:t>一个模型可以在平均性能上领先，却在最差部署切片、服务接受率或不确定性覆盖上落后；只有把总体风险、尾部风险和可靠性承诺共同报告，才能判断 GeoFM 是否适合真实部署。</w:t>
      </w:r>
    </w:p>
    <w:p w14:paraId="723DC8BD"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1123" w:right="1440" w:bottom="1123" w:left="1440" w:header="547" w:footer="54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427AC6">
    <w:pPr>
      <w:pStyle w:val="24"/>
      <w:spacing w:after="0"/>
      <w:jc w:val="right"/>
    </w:pPr>
    <w:r>
      <w:rPr>
        <w:rFonts w:ascii="Calibri" w:hAnsi="Calibri" w:eastAsia="微软雅黑"/>
        <w:color w:val="5F6B78"/>
        <w:sz w:val="16"/>
      </w:rPr>
      <w:t xml:space="preserve">RSFM / GeoFM deployment-slice reliability  ·  </w:t>
    </w: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A62271">
    <w:pPr>
      <w:pStyle w:val="25"/>
      <w:spacing w:after="0"/>
      <w:jc w:val="right"/>
    </w:pPr>
    <w:r>
      <w:rPr>
        <w:rFonts w:ascii="Calibri" w:hAnsi="Calibri" w:eastAsia="微软雅黑"/>
        <w:color w:val="5F6B78"/>
        <w:sz w:val="17"/>
      </w:rPr>
      <w:t>GeoBWER 项目阶段性升级汇报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7E31356"/>
    <w:rsid w:val="76F62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00" w:lineRule="auto"/>
      <w:jc w:val="both"/>
    </w:pPr>
    <w:rPr>
      <w:rFonts w:ascii="Calibri" w:hAnsi="Calibri" w:eastAsia="微软雅黑" w:cstheme="minorBidi"/>
      <w:color w:val="202A35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0" w:after="160"/>
      <w:outlineLvl w:val="0"/>
    </w:pPr>
    <w:rPr>
      <w:rFonts w:asciiTheme="majorHAnsi" w:hAnsiTheme="majorHAnsi" w:eastAsiaTheme="majorEastAsia" w:cstheme="majorBidi"/>
      <w:b/>
      <w:bCs/>
      <w:color w:val="17365D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40" w:after="60"/>
      <w:outlineLvl w:val="2"/>
    </w:pPr>
    <w:rPr>
      <w:rFonts w:asciiTheme="majorHAnsi" w:hAnsiTheme="majorHAnsi" w:eastAsiaTheme="majorEastAsia" w:cstheme="majorBidi"/>
      <w:b/>
      <w:bCs/>
      <w:color w:val="17365D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773</Words>
  <Characters>1015</Characters>
  <Lines>0</Lines>
  <Paragraphs>0</Paragraphs>
  <TotalTime>77</TotalTime>
  <ScaleCrop>false</ScaleCrop>
  <LinksUpToDate>false</LinksUpToDate>
  <CharactersWithSpaces>1064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RSFM Fairness Audit Project</dc:creator>
  <dc:description>generated by python-docx</dc:description>
  <cp:lastModifiedBy>漫</cp:lastModifiedBy>
  <dcterms:modified xsi:type="dcterms:W3CDTF">2026-07-26T12:42:35Z</dcterms:modified>
  <dc:subject>BWER1升级、AlphaEarth和Conformal</dc:subject>
  <dc:title>GeoBWER项目阶段性升级汇报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eyJoZGlkIjoiYzQ2YjAyY2I4NWViNDNlN2Y0MWFkYmU4ZjdhNTJiYTYiLCJ1c2VySWQiOiIxMTM2MTk0MDk3In0=</vt:lpwstr>
  </property>
  <property fmtid="{D5CDD505-2E9C-101B-9397-08002B2CF9AE}" pid="3" name="KSOProductBuildVer">
    <vt:lpwstr>2052-12.1.0.28043</vt:lpwstr>
  </property>
  <property fmtid="{D5CDD505-2E9C-101B-9397-08002B2CF9AE}" pid="4" name="ICV">
    <vt:lpwstr>01167D9BE30A45F3A3B62AB8F6E9F7F8_12</vt:lpwstr>
  </property>
</Properties>
</file>