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60"/>
      </w:pPr>
      <w:r>
        <w:rPr>
          <w:rFonts w:ascii="Calibri" w:hAnsi="Calibri" w:eastAsia="Microsoft YaHei"/>
          <w:b/>
          <w:color w:val="1F4E79"/>
          <w:sz w:val="68"/>
        </w:rPr>
        <w:t>GeoBWER</w:t>
      </w:r>
    </w:p>
    <w:p>
      <w:pPr>
        <w:spacing w:after="240"/>
      </w:pPr>
      <w:r>
        <w:rPr>
          <w:rFonts w:ascii="Calibri" w:hAnsi="Calibri" w:eastAsia="Microsoft YaHei"/>
          <w:b/>
          <w:color w:val="147D73"/>
          <w:sz w:val="38"/>
        </w:rPr>
        <w:t>从“发现尾部差异”到“可复用的 GeoFM 公平性审计协议”</w:t>
      </w:r>
    </w:p>
    <w:p>
      <w:pPr>
        <w:spacing w:after="440"/>
      </w:pPr>
      <w:r>
        <w:rPr>
          <w:rFonts w:ascii="Calibri" w:hAnsi="Calibri" w:eastAsia="Microsoft YaHei"/>
          <w:color w:val="5B6573"/>
          <w:sz w:val="24"/>
        </w:rPr>
        <w:t>BWER1.0 之后的核心方法升级、实验矩阵扩展与不确定性设计</w:t>
      </w:r>
    </w:p>
    <w:p>
      <w:pPr>
        <w:spacing w:after="360"/>
        <w:shd w:fill="1F4E79"/>
      </w:pPr>
      <w:r>
        <w:t xml:space="preserve"> </w:t>
      </w:r>
    </w:p>
    <w:p>
      <w:pPr>
        <w:spacing w:before="60" w:after="160" w:line="252" w:lineRule="auto"/>
        <w:ind w:left="173" w:right="115"/>
        <w:shd w:fill="EAF2F8"/>
        <w:pBdr>
          <w:left w:val="single" w:sz="18" w:space="6" w:color="1F4E79"/>
        </w:pBdr>
      </w:pPr>
      <w:r>
        <w:rPr>
          <w:rFonts w:ascii="Calibri" w:hAnsi="Calibri" w:eastAsia="Microsoft YaHei"/>
          <w:b/>
          <w:color w:val="1F4E79"/>
          <w:sz w:val="21"/>
        </w:rPr>
        <w:t xml:space="preserve">一句话结论  </w:t>
      </w:r>
      <w:r>
        <w:rPr>
          <w:rFonts w:ascii="Calibri" w:hAnsi="Calibri" w:eastAsia="Microsoft YaHei"/>
          <w:color w:val="1F2933"/>
          <w:sz w:val="20"/>
        </w:rPr>
        <w:t>项目没有偏离最初的公平性指标目标：保留“最差部署切片相对平均水平的额外风险”这一核心构念，把原来的整数切片启发式升级为精确、加权、带支持诊断和统计认证的 GeoBWER。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2952"/>
        <w:gridCol w:w="6768"/>
      </w:tblGrid>
      <w:tr>
        <w:trPr>
          <w:tblHeader w:val="true"/>
        </w:trPr>
        <w:tc>
          <w:tcPr>
            <w:tcW w:type="dxa" w:w="2952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上次汇报后新增的三条主线</w:t>
            </w:r>
          </w:p>
        </w:tc>
        <w:tc>
          <w:tcPr>
            <w:tcW w:type="dxa" w:w="6768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本次升级带来的科学意义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6F3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GeoBWER 1.1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8"/>
              </w:rPr>
              <w:t>从一个可运行分数，升级为明确 estimand、可比较、可给置信结论的审计协议。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6F3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AlphaEarth 全球审计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8"/>
              </w:rPr>
              <w:t>补齐全球空间块、国家×类别、参考地图歧义与尺度敏感性证据。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6F3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Conformal / CRC / GeoConformal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8"/>
              </w:rPr>
              <w:t>从“模型是否答对”扩展到“模型能否诚实表达不确定性，以及哪些切片得不到可靠覆盖”。</w:t>
            </w:r>
          </w:p>
        </w:tc>
      </w:tr>
    </w:tbl>
    <w:p>
      <w:pPr>
        <w:spacing w:after="0"/>
      </w:pPr>
    </w:p>
    <w:p>
      <w:pPr>
        <w:spacing w:after="40" w:line="264" w:lineRule="auto"/>
      </w:pPr>
      <w:r>
        <w:rPr>
          <w:rFonts w:ascii="Calibri" w:hAnsi="Calibri" w:eastAsia="Microsoft YaHei"/>
          <w:color w:val="5B6573"/>
          <w:sz w:val="21"/>
        </w:rPr>
        <w:t>汇报日期：2026 年 7 月 25 日</w:t>
      </w:r>
    </w:p>
    <w:p>
      <w:pPr>
        <w:spacing w:after="0" w:line="264" w:lineRule="auto"/>
      </w:pPr>
      <w:r>
        <w:rPr>
          <w:rFonts w:ascii="Calibri" w:hAnsi="Calibri" w:eastAsia="Microsoft YaHei"/>
          <w:color w:val="5B6573"/>
          <w:sz w:val="21"/>
        </w:rPr>
        <w:t>项目：RSFM / GeoFM Deployment-Slice Reliability Audit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rPr>
          <w:rFonts w:ascii="Calibri" w:hAnsi="Calibri" w:eastAsia="Microsoft YaHei"/>
          <w:b/>
          <w:color w:val="1F4E79"/>
          <w:sz w:val="44"/>
        </w:rPr>
        <w:t>1. 这段时间真正完成了什么</w:t>
      </w:r>
    </w:p>
    <w:p>
      <w:pPr>
        <w:spacing w:after="280"/>
      </w:pPr>
      <w:r>
        <w:rPr>
          <w:rFonts w:ascii="Calibri" w:hAnsi="Calibri" w:eastAsia="Microsoft YaHei"/>
          <w:color w:val="5B6573"/>
          <w:sz w:val="23"/>
        </w:rPr>
        <w:t>不是简单增加实验数量，而是重构了“公平性风险如何定义、比较与认证”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1584"/>
        <w:gridCol w:w="3528"/>
        <w:gridCol w:w="4608"/>
      </w:tblGrid>
      <w:tr>
        <w:trPr>
          <w:tblHeader w:val="true"/>
        </w:trPr>
        <w:tc>
          <w:tcPr>
            <w:tcW w:type="dxa" w:w="158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352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BWER1 阶段</w:t>
            </w:r>
          </w:p>
        </w:tc>
        <w:tc>
          <w:tcPr>
            <w:tcW w:type="dxa" w:w="460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当前 GeoBWER 阶段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科学问题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平均性能之外，最差部署切片是否显著更差？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同一问题，但明确“最差 β 部署质量”以及目标部署测度。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指标定义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取最差若干完整切片，再减去切片平均。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精确取尾部 β 质量；临界切片只取所需部分；支持不同部署权重。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证据强度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以点估计和诊断性结果为主。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区分 descriptive、identified、certified；报告 CI、LCB 与无效状态。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跨模型比较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模型可能因有效切片不同而不可直接比较。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强制共同支持、配对差值和同协议比较。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不确定性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Selective-BWER 为主。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Selective + split CP + CRC + 地理局部 comparator，统一进入 GeoBWER。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实验结构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四个任务较像并列案例。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四任务分别承担事件、地理、模态和全球地图协议四类部署轴。</w:t>
            </w:r>
          </w:p>
        </w:tc>
      </w:tr>
    </w:tbl>
    <w:p>
      <w:pPr>
        <w:spacing w:after="0"/>
      </w:pPr>
    </w:p>
    <w:p>
      <w:pPr>
        <w:spacing w:before="60" w:after="160" w:line="252" w:lineRule="auto"/>
        <w:ind w:left="173" w:right="115"/>
        <w:shd w:fill="FCE4D6"/>
        <w:pBdr>
          <w:left w:val="single" w:sz="18" w:space="6" w:color="C55A11"/>
        </w:pBdr>
      </w:pPr>
      <w:r>
        <w:rPr>
          <w:rFonts w:ascii="Calibri" w:hAnsi="Calibri" w:eastAsia="Microsoft YaHei"/>
          <w:b/>
          <w:color w:val="C55A11"/>
          <w:sz w:val="21"/>
        </w:rPr>
        <w:t xml:space="preserve">核心变化  </w:t>
      </w:r>
      <w:r>
        <w:rPr>
          <w:rFonts w:ascii="Calibri" w:hAnsi="Calibri" w:eastAsia="Microsoft YaHei"/>
          <w:color w:val="1F2933"/>
          <w:sz w:val="20"/>
        </w:rPr>
        <w:t>GeoBWER 不是为了让数值“更大”或“更漂亮”。它的价值是把“观察到差距”与“有限样本已经能够确认差距”分开。</w:t>
      </w:r>
    </w:p>
    <w:p>
      <w:pPr>
        <w:pStyle w:val="Heading2"/>
      </w:pPr>
      <w:r>
        <w:t>导师汇报时最值得强调的三句话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1F2933"/>
          <w:sz w:val="20"/>
        </w:rPr>
        <w:t>原始 BWER 的科学直觉被保留，而且成为最终方法的嵌入特例。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1F2933"/>
          <w:sz w:val="20"/>
        </w:rPr>
        <w:t>真正的方法创新不只是一条公式，而是“尾部风险泛函 + 部署测度 + 支持规则 + 空间依赖推断 + 版本化审计协议”。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1F2933"/>
          <w:sz w:val="20"/>
        </w:rPr>
        <w:t>AlphaEarth 和 Conformal 不是额外拼接：前者把审计扩展到全球地图部署，后者把公平性问题扩展到可靠性承诺是否被各地公平兑现。</w:t>
      </w:r>
    </w:p>
    <w:p>
      <w:pPr>
        <w:spacing w:before="60" w:after="100" w:line="252" w:lineRule="auto"/>
        <w:ind w:left="173" w:right="115"/>
        <w:shd w:fill="EAF4EA"/>
        <w:pBdr>
          <w:left w:val="single" w:sz="18" w:space="6" w:color="2E7D32"/>
        </w:pBdr>
      </w:pPr>
      <w:r>
        <w:rPr>
          <w:rFonts w:ascii="Calibri" w:hAnsi="Calibri" w:eastAsia="Microsoft YaHei"/>
          <w:b/>
          <w:color w:val="2E7D32"/>
          <w:sz w:val="20"/>
        </w:rPr>
        <w:t xml:space="preserve">一句话讲法  </w:t>
      </w:r>
      <w:r>
        <w:rPr>
          <w:rFonts w:ascii="Calibri" w:hAnsi="Calibri" w:eastAsia="Microsoft YaHei"/>
          <w:color w:val="1F2933"/>
          <w:sz w:val="19"/>
        </w:rPr>
        <w:t>以前是“发现哪些地方差”；现在是“明确差多少、对谁而言、证据是否足够、不同模型能否公平比较”。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rPr>
          <w:rFonts w:ascii="Calibri" w:hAnsi="Calibri" w:eastAsia="Microsoft YaHei"/>
          <w:b/>
          <w:color w:val="1F4E79"/>
          <w:sz w:val="44"/>
        </w:rPr>
        <w:t>2. 实验矩阵：从并列案例到四任务验证套件</w:t>
      </w:r>
    </w:p>
    <w:p>
      <w:pPr>
        <w:spacing w:after="280"/>
      </w:pPr>
      <w:r>
        <w:rPr>
          <w:rFonts w:ascii="Calibri" w:hAnsi="Calibri" w:eastAsia="Microsoft YaHei"/>
          <w:color w:val="5B6573"/>
          <w:sz w:val="23"/>
        </w:rPr>
        <w:t>同一指标跨任务复用，但每个任务承担不同的部署可靠性问题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1437"/>
        <w:gridCol w:w="2259"/>
        <w:gridCol w:w="3286"/>
        <w:gridCol w:w="2738"/>
      </w:tblGrid>
      <w:tr>
        <w:trPr>
          <w:tblHeader w:val="true"/>
        </w:trPr>
        <w:tc>
          <w:tcPr>
            <w:tcW w:type="dxa" w:w="1437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2259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上次汇报时的主要模型/角色</w:t>
            </w:r>
          </w:p>
        </w:tc>
        <w:tc>
          <w:tcPr>
            <w:tcW w:type="dxa" w:w="328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当前冻结模型矩阵</w:t>
            </w:r>
          </w:p>
        </w:tc>
        <w:tc>
          <w:tcPr>
            <w:tcW w:type="dxa" w:w="273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改动后的优势</w:t>
            </w:r>
          </w:p>
        </w:tc>
      </w:tr>
      <w:tr>
        <w:trPr>
          <w:cantSplit/>
        </w:trPr>
        <w:tc>
          <w:tcPr>
            <w:tcW w:type="dxa" w:w="1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5"/>
              </w:rPr>
              <w:t>Sen1Floods11</w:t>
              <w:br/>
              <w:t>洪水分割</w:t>
            </w:r>
          </w:p>
        </w:tc>
        <w:tc>
          <w:tcPr>
            <w:tcW w:type="dxa" w:w="22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5"/>
              </w:rPr>
              <w:t>Prithvi TL；U-Net / ResNet34-U-Net；以 S2 与事件级 BWER 为主。</w:t>
            </w:r>
          </w:p>
        </w:tc>
        <w:tc>
          <w:tcPr>
            <w:tcW w:type="dxa" w:w="32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5"/>
              </w:rPr>
              <w:t>TerraMind × S1/S2/S1+S2 × 3 seeds；ResNet34-U-Net 同协议三模态；Prithvi TL 作为任务专用外部强参考。</w:t>
            </w:r>
          </w:p>
        </w:tc>
        <w:tc>
          <w:tcPr>
            <w:tcW w:type="dxa" w:w="2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5"/>
              </w:rPr>
              <w:t>把“事件尾部风险”与“传感器模态是否缓解尾部失败”连接起来；主比较共享 split、模态和训练预算。</w:t>
            </w:r>
          </w:p>
        </w:tc>
      </w:tr>
      <w:tr>
        <w:trPr>
          <w:cantSplit/>
        </w:trPr>
        <w:tc>
          <w:tcPr>
            <w:tcW w:type="dxa" w:w="1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5"/>
              </w:rPr>
              <w:t>fMoW-Sentinel</w:t>
              <w:br/>
              <w:t>单标签分类</w:t>
            </w:r>
          </w:p>
        </w:tc>
        <w:tc>
          <w:tcPr>
            <w:tcW w:type="dxa" w:w="22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5"/>
              </w:rPr>
              <w:t>DOFA 与 13-band ResNet-50；位置不相交；模型输入和训练协议并不完全对齐。</w:t>
            </w:r>
          </w:p>
        </w:tc>
        <w:tc>
          <w:tcPr>
            <w:tcW w:type="dxa" w:w="32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5"/>
              </w:rPr>
              <w:t>DOFAv2 × 3 probe seeds；common-9-band ResNet-50 × 3 seeds；保存完整 62 维概率。</w:t>
            </w:r>
          </w:p>
        </w:tc>
        <w:tc>
          <w:tcPr>
            <w:tcW w:type="dxa" w:w="2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5"/>
              </w:rPr>
              <w:t>能够做同支持、同波段的 FM–baseline 配对比较；可正式运行 prediction sets 与排名反转检验。</w:t>
            </w:r>
          </w:p>
        </w:tc>
      </w:tr>
      <w:tr>
        <w:trPr>
          <w:cantSplit/>
        </w:trPr>
        <w:tc>
          <w:tcPr>
            <w:tcW w:type="dxa" w:w="1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5"/>
              </w:rPr>
              <w:t>reBEN</w:t>
              <w:br/>
              <w:t>多标签分类</w:t>
            </w:r>
          </w:p>
        </w:tc>
        <w:tc>
          <w:tcPr>
            <w:tcW w:type="dxa" w:w="22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5"/>
              </w:rPr>
              <w:t>CROMA × S1/S2/S1+S2；主要展示传感器模态差异。</w:t>
            </w:r>
          </w:p>
        </w:tc>
        <w:tc>
          <w:tcPr>
            <w:tcW w:type="dxa" w:w="32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5"/>
              </w:rPr>
              <w:t>CROMA、TerraMind、supervised ResNet-50 × S1/S2/S1+S2 × 3 seeds。</w:t>
            </w:r>
          </w:p>
        </w:tc>
        <w:tc>
          <w:tcPr>
            <w:tcW w:type="dxa" w:w="2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5"/>
              </w:rPr>
              <w:t>形成“架构 × 模态”因子面板；可判断融合收益是否跨架构复现，而非单模型偶然现象。</w:t>
            </w:r>
          </w:p>
        </w:tc>
      </w:tr>
      <w:tr>
        <w:trPr>
          <w:cantSplit/>
        </w:trPr>
        <w:tc>
          <w:tcPr>
            <w:tcW w:type="dxa" w:w="14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5"/>
              </w:rPr>
              <w:t>AlphaEarth</w:t>
              <w:br/>
              <w:t>全球土地覆盖</w:t>
            </w:r>
          </w:p>
        </w:tc>
        <w:tc>
          <w:tcPr>
            <w:tcW w:type="dxa" w:w="22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5"/>
              </w:rPr>
              <w:t>上次汇报尚未纳入。</w:t>
            </w:r>
          </w:p>
        </w:tc>
        <w:tc>
          <w:tcPr>
            <w:tcW w:type="dxa" w:w="32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5"/>
              </w:rPr>
              <w:t>AlphaEarth embeddings + ML/probe；WorldCover 评价参考；Dynamic World 歧义诊断；空间块、国家、类别及交叉切片。</w:t>
            </w:r>
          </w:p>
        </w:tc>
        <w:tc>
          <w:tcPr>
            <w:tcW w:type="dxa" w:w="2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5"/>
              </w:rPr>
              <w:t>补齐全球尺度、参考地图不确定性、空间转移、规模敏感性和 conformal coverage debt。</w:t>
            </w:r>
          </w:p>
        </w:tc>
      </w:tr>
    </w:tbl>
    <w:p>
      <w:pPr>
        <w:spacing w:after="0"/>
      </w:pPr>
    </w:p>
    <w:p>
      <w:pPr>
        <w:spacing w:before="60" w:after="160" w:line="252" w:lineRule="auto"/>
        <w:ind w:left="173" w:right="115"/>
        <w:shd w:fill="F2F4F7"/>
        <w:pBdr>
          <w:left w:val="single" w:sz="18" w:space="6" w:color="5B6573"/>
        </w:pBdr>
      </w:pPr>
      <w:r>
        <w:rPr>
          <w:rFonts w:ascii="Calibri" w:hAnsi="Calibri" w:eastAsia="Microsoft YaHei"/>
          <w:b/>
          <w:color w:val="5B6573"/>
          <w:sz w:val="21"/>
        </w:rPr>
        <w:t xml:space="preserve">为什么不再盲目增加第五个任务？  </w:t>
      </w:r>
      <w:r>
        <w:rPr>
          <w:rFonts w:ascii="Calibri" w:hAnsi="Calibri" w:eastAsia="Microsoft YaHei"/>
          <w:color w:val="1F2933"/>
          <w:sz w:val="20"/>
        </w:rPr>
        <w:t>现有四任务已覆盖单标签、多标签、像素分割与全球地图协议，也覆盖事件、地理、模态和空间尺度。当前更需要的是同协议基线、多个随机种子和可认证推断，而不是继续堆数据集。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rPr>
          <w:rFonts w:ascii="Calibri" w:hAnsi="Calibri" w:eastAsia="Microsoft YaHei"/>
          <w:b/>
          <w:color w:val="1F4E79"/>
          <w:sz w:val="44"/>
        </w:rPr>
        <w:t>3. 核心思想没有变：最差切片风险 − 平均风险</w:t>
      </w:r>
    </w:p>
    <w:p>
      <w:pPr>
        <w:spacing w:after="280"/>
      </w:pPr>
      <w:r>
        <w:rPr>
          <w:rFonts w:ascii="Calibri" w:hAnsi="Calibri" w:eastAsia="Microsoft YaHei"/>
          <w:color w:val="5B6573"/>
          <w:sz w:val="23"/>
        </w:rPr>
        <w:t>BWER1 是直观起点，GeoBWER 是其精确定义与统计化升级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217694"/>
            <wp:docPr id="1" name="Picture 1" descr="BWER1 与 GeoBWER 从共同核心问题分支出的概念图：前者使用最差若干完整切片，后者使用精确最差 beta 部署质量。" title="BWER1 与 GeoBWER 核心思想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er1_geobwer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52" w:lineRule="auto"/>
        <w:ind w:left="173" w:right="115"/>
        <w:shd w:fill="EAF4EA"/>
        <w:pBdr>
          <w:left w:val="single" w:sz="18" w:space="6" w:color="2E7D32"/>
        </w:pBdr>
      </w:pPr>
      <w:r>
        <w:rPr>
          <w:rFonts w:ascii="Calibri" w:hAnsi="Calibri" w:eastAsia="Microsoft YaHei"/>
          <w:b/>
          <w:color w:val="2E7D32"/>
          <w:sz w:val="21"/>
        </w:rPr>
        <w:t xml:space="preserve">最重要的理解  </w:t>
      </w:r>
      <w:r>
        <w:rPr>
          <w:rFonts w:ascii="Calibri" w:hAnsi="Calibri" w:eastAsia="Microsoft YaHei"/>
          <w:color w:val="1F2933"/>
          <w:sz w:val="20"/>
        </w:rPr>
        <w:t>GeoBWER 并没有推翻项目最初的科学问题；它推翻的是“用 ceil(βG) 个完整切片近似尾部 β 质量”这一实现方式。</w:t>
      </w:r>
    </w:p>
    <w:p>
      <w:pPr>
        <w:spacing w:after="80" w:line="264" w:lineRule="auto"/>
      </w:pPr>
      <w:r>
        <w:rPr>
          <w:rFonts w:ascii="Calibri" w:hAnsi="Calibri" w:eastAsia="Microsoft YaHei"/>
          <w:color w:val="1F2933"/>
          <w:sz w:val="21"/>
        </w:rPr>
        <w:t>其中“风险”不是固定等于分类错误率：分割可用每个事件的 IoU 损失，多标签可用漏标风险，Selective 可用接受样本上的损失，Conformal 可用误覆盖损失。因而同一个泛函可以跨任务复用。</w:t>
      </w:r>
    </w:p>
    <w:p>
      <w:pPr>
        <w:spacing w:before="60" w:after="100" w:line="252" w:lineRule="auto"/>
        <w:ind w:left="173" w:right="115"/>
        <w:shd w:fill="FCE4D6"/>
        <w:pBdr>
          <w:left w:val="single" w:sz="18" w:space="6" w:color="C55A11"/>
        </w:pBdr>
      </w:pPr>
      <w:r>
        <w:rPr>
          <w:rFonts w:ascii="Calibri" w:hAnsi="Calibri" w:eastAsia="Microsoft YaHei"/>
          <w:b/>
          <w:color w:val="C55A11"/>
          <w:sz w:val="20"/>
        </w:rPr>
        <w:t xml:space="preserve">一句话讲法  </w:t>
      </w:r>
      <w:r>
        <w:rPr>
          <w:rFonts w:ascii="Calibri" w:hAnsi="Calibri" w:eastAsia="Microsoft YaHei"/>
          <w:color w:val="1F2933"/>
          <w:sz w:val="19"/>
        </w:rPr>
        <w:t>BWER1 像用整块积木拼出 10%；GeoBWER 允许切开最后一块，精确得到 10%。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rPr>
          <w:rFonts w:ascii="Calibri" w:hAnsi="Calibri" w:eastAsia="Microsoft YaHei"/>
          <w:b/>
          <w:color w:val="1F4E79"/>
          <w:sz w:val="44"/>
        </w:rPr>
        <w:t>4. 两个版本的公式与一个直观例子</w:t>
      </w:r>
    </w:p>
    <w:p>
      <w:pPr>
        <w:spacing w:after="280"/>
      </w:pPr>
      <w:r>
        <w:rPr>
          <w:rFonts w:ascii="Calibri" w:hAnsi="Calibri" w:eastAsia="Microsoft YaHei"/>
          <w:color w:val="5B6573"/>
          <w:sz w:val="23"/>
        </w:rPr>
        <w:t>数学升级发生在“尾部如何选、平均如何定义、证据如何认证”</w:t>
      </w:r>
    </w:p>
    <w:p>
      <w:pPr>
        <w:pStyle w:val="Heading2"/>
      </w:pPr>
      <w:r>
        <w:t>BWER1：最差若干完整切片</w:t>
      </w:r>
    </w:p>
    <w:p>
      <w:pPr>
        <w:spacing w:before="40" w:after="160" w:line="276" w:lineRule="auto"/>
        <w:jc w:val="center"/>
        <w:shd w:fill="F7F9FC"/>
      </w:pPr>
      <w:r>
        <w:rPr>
          <w:rFonts w:ascii="Cambria Math" w:hAnsi="Cambria Math" w:eastAsia="Microsoft YaHei"/>
          <w:color w:val="1F2933"/>
          <w:sz w:val="24"/>
        </w:rPr>
        <w:t>k = ⌈βG⌉</w:t>
      </w:r>
      <w:r>
        <w:br/>
      </w:r>
      <w:r>
        <w:rPr>
          <w:rFonts w:ascii="Cambria Math" w:hAnsi="Cambria Math" w:eastAsia="Microsoft YaHei"/>
          <w:color w:val="1F2933"/>
          <w:sz w:val="24"/>
        </w:rPr>
        <w:t>BWER1β = (1/k) Σⱼ₌₁ᵏ R(ⱼ)  −  (1/G) Σg₌₁ᴳ Rg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3"/>
          <w:sz w:val="21"/>
        </w:rPr>
        <w:t>R(1) ≥ R(2) ≥ … 为按风险从高到低排序的切片；G 为切片数。它直观，但当 βG 不是整数时会多取完整切片。</w:t>
      </w:r>
    </w:p>
    <w:p>
      <w:pPr>
        <w:pStyle w:val="Heading2"/>
      </w:pPr>
      <w:r>
        <w:t>GeoBWER：精确最差 β 部署质量</w:t>
      </w:r>
    </w:p>
    <w:p>
      <w:pPr>
        <w:spacing w:before="40" w:after="160" w:line="276" w:lineRule="auto"/>
        <w:jc w:val="center"/>
        <w:shd w:fill="E8F6F3"/>
      </w:pPr>
      <w:r>
        <w:rPr>
          <w:rFonts w:ascii="Cambria Math" w:hAnsi="Cambria Math" w:eastAsia="Microsoft YaHei"/>
          <w:color w:val="1F2933"/>
          <w:sz w:val="24"/>
        </w:rPr>
        <w:t>平均风险：mμ(R) = Σg μg Rg</w:t>
      </w:r>
      <w:r>
        <w:br/>
      </w:r>
      <w:r>
        <w:rPr>
          <w:rFonts w:ascii="Cambria Math" w:hAnsi="Cambria Math" w:eastAsia="Microsoft YaHei"/>
          <w:color w:val="1F2933"/>
          <w:sz w:val="24"/>
        </w:rPr>
        <w:t>尾部风险：Tβ,μ(R) = (1/β) ∫₁₋β¹ F⁻¹R,μ(u) du</w:t>
      </w:r>
      <w:r>
        <w:br/>
      </w:r>
      <w:r>
        <w:rPr>
          <w:rFonts w:ascii="Cambria Math" w:hAnsi="Cambria Math" w:eastAsia="Microsoft YaHei"/>
          <w:color w:val="1F2933"/>
          <w:sz w:val="24"/>
        </w:rPr>
        <w:t>GeoBWERβ,μ(R) = Tβ,μ(R) − mμ(R)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3"/>
          <w:sz w:val="21"/>
        </w:rPr>
        <w:t>μ 是审计测度：可令国家等权、按观测样本质量加权，或在有权威依据时使用外部部署权重。β=0.10 表示审计最差 10% 的部署质量，而不是机械选择若干个组。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2611"/>
        <w:gridCol w:w="7109"/>
      </w:tblGrid>
      <w:tr>
        <w:trPr>
          <w:tblHeader w:val="true"/>
        </w:trPr>
        <w:tc>
          <w:tcPr>
            <w:tcW w:type="dxa" w:w="2611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11 个洪水事件，β=10%</w:t>
            </w:r>
          </w:p>
        </w:tc>
        <w:tc>
          <w:tcPr>
            <w:tcW w:type="dxa" w:w="7109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实际被审计的尾部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6F3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BWER1</w:t>
            </w:r>
          </w:p>
        </w:tc>
        <w:tc>
          <w:tcPr>
            <w:tcW w:type="dxa" w:w="71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8"/>
              </w:rPr>
              <w:t>⌈1.1⌉=2 个完整事件，即 18.18% 的事件质量。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8F6F3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GeoBWER</w:t>
            </w:r>
          </w:p>
        </w:tc>
        <w:tc>
          <w:tcPr>
            <w:tcW w:type="dxa" w:w="71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8"/>
              </w:rPr>
              <w:t>最差事件全部 9.09% + 第二差事件 0.91%，精确组成 10%。</w:t>
            </w:r>
          </w:p>
        </w:tc>
      </w:tr>
    </w:tbl>
    <w:p>
      <w:pPr>
        <w:spacing w:after="0"/>
      </w:pPr>
    </w:p>
    <w:p>
      <w:pPr>
        <w:spacing w:before="60" w:after="100" w:line="252" w:lineRule="auto"/>
        <w:ind w:left="173" w:right="115"/>
        <w:shd w:fill="EAF2F8"/>
        <w:pBdr>
          <w:left w:val="single" w:sz="18" w:space="6" w:color="1F4E79"/>
        </w:pBdr>
      </w:pPr>
      <w:r>
        <w:rPr>
          <w:rFonts w:ascii="Calibri" w:hAnsi="Calibri" w:eastAsia="Microsoft YaHei"/>
          <w:b/>
          <w:color w:val="1F4E79"/>
          <w:sz w:val="20"/>
        </w:rPr>
        <w:t xml:space="preserve">嵌入性质  </w:t>
      </w:r>
      <w:r>
        <w:rPr>
          <w:rFonts w:ascii="Calibri" w:hAnsi="Calibri" w:eastAsia="Microsoft YaHei"/>
          <w:color w:val="1F2933"/>
          <w:sz w:val="19"/>
        </w:rPr>
        <w:t>当切片等权且 β=k/G 时，GeoBWER 与 BWER1 完全相同。因此部分数据上两者数值接近，是理论预期，不是升级失效。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rPr>
          <w:rFonts w:ascii="Calibri" w:hAnsi="Calibri" w:eastAsia="Microsoft YaHei"/>
          <w:b/>
          <w:color w:val="1F4E79"/>
          <w:sz w:val="44"/>
        </w:rPr>
        <w:t>5. BWER1 暴露的问题，GeoBWER 如何逐项解决</w:t>
      </w:r>
    </w:p>
    <w:p>
      <w:pPr>
        <w:spacing w:after="280"/>
      </w:pPr>
      <w:r>
        <w:rPr>
          <w:rFonts w:ascii="Calibri" w:hAnsi="Calibri" w:eastAsia="Microsoft YaHei"/>
          <w:color w:val="5B6573"/>
          <w:sz w:val="23"/>
        </w:rPr>
        <w:t>改进目标不是复杂化，而是让分数能被正确解释和复用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2974"/>
        <w:gridCol w:w="3990"/>
        <w:gridCol w:w="2756"/>
      </w:tblGrid>
      <w:tr>
        <w:trPr>
          <w:tblHeader w:val="true"/>
        </w:trPr>
        <w:tc>
          <w:tcPr>
            <w:tcW w:type="dxa" w:w="297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BWER1 阶段的问题</w:t>
            </w:r>
          </w:p>
        </w:tc>
        <w:tc>
          <w:tcPr>
            <w:tcW w:type="dxa" w:w="399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GeoBWER 1.1 的对应解决</w:t>
            </w:r>
          </w:p>
        </w:tc>
        <w:tc>
          <w:tcPr>
            <w:tcW w:type="dxa" w:w="275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科学价值</w:t>
            </w:r>
          </w:p>
        </w:tc>
      </w:tr>
      <w:tr>
        <w:trPr>
          <w:cantSplit/>
        </w:trPr>
        <w:tc>
          <w:tcPr>
            <w:tcW w:type="dxa" w:w="29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用整数个完整切片近似 β 尾部，随切片数跳变。</w:t>
            </w:r>
          </w:p>
        </w:tc>
        <w:tc>
          <w:tcPr>
            <w:tcW w:type="dxa" w:w="39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精确 fractional boundary mass；连续 β-profile（5%、10%、20%、30%）。</w:t>
            </w:r>
          </w:p>
        </w:tc>
        <w:tc>
          <w:tcPr>
            <w:tcW w:type="dxa" w:w="27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不同任务、不同切片数量之间更可比。</w:t>
            </w:r>
          </w:p>
        </w:tc>
      </w:tr>
      <w:tr>
        <w:trPr>
          <w:cantSplit/>
        </w:trPr>
        <w:tc>
          <w:tcPr>
            <w:tcW w:type="dxa" w:w="29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默认切片等权，部署人群含义不够明确。</w:t>
            </w:r>
          </w:p>
        </w:tc>
        <w:tc>
          <w:tcPr>
            <w:tcW w:type="dxa" w:w="39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显式审计测度 μ；equal / empirical / external 权重写入协议。</w:t>
            </w:r>
          </w:p>
        </w:tc>
        <w:tc>
          <w:tcPr>
            <w:tcW w:type="dxa" w:w="27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回答“对谁公平”，而不只是给一个抽象差距。</w:t>
            </w:r>
          </w:p>
        </w:tc>
      </w:tr>
      <w:tr>
        <w:trPr>
          <w:cantSplit/>
        </w:trPr>
        <w:tc>
          <w:tcPr>
            <w:tcW w:type="dxa" w:w="29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小支持切片容易偶然成为“最差”。</w:t>
            </w:r>
          </w:p>
        </w:tc>
        <w:tc>
          <w:tcPr>
            <w:tcW w:type="dxa" w:w="39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支持量、独立 cluster、tail membership 与边界质量诊断。</w:t>
            </w:r>
          </w:p>
        </w:tc>
        <w:tc>
          <w:tcPr>
            <w:tcW w:type="dxa" w:w="27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避免把抽样噪声误写成公平性发现。</w:t>
            </w:r>
          </w:p>
        </w:tc>
      </w:tr>
      <w:tr>
        <w:trPr>
          <w:cantSplit/>
        </w:trPr>
        <w:tc>
          <w:tcPr>
            <w:tcW w:type="dxa" w:w="29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不同模型可能在不同有效切片上计算。</w:t>
            </w:r>
          </w:p>
        </w:tc>
        <w:tc>
          <w:tcPr>
            <w:tcW w:type="dxa" w:w="39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common-support paired comparison。</w:t>
            </w:r>
          </w:p>
        </w:tc>
        <w:tc>
          <w:tcPr>
            <w:tcW w:type="dxa" w:w="27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平均性能与公平性排名反转才具有可比含义。</w:t>
            </w:r>
          </w:p>
        </w:tc>
      </w:tr>
      <w:tr>
        <w:trPr>
          <w:cantSplit/>
        </w:trPr>
        <w:tc>
          <w:tcPr>
            <w:tcW w:type="dxa" w:w="29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普通 bootstrap 忽略空间或事件内相关。</w:t>
            </w:r>
          </w:p>
        </w:tc>
        <w:tc>
          <w:tcPr>
            <w:tcW w:type="dxa" w:w="39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cluster / spatial max-T 同时风险带，并给 GeoBWER CI 与单侧 LCB。</w:t>
            </w:r>
          </w:p>
        </w:tc>
        <w:tc>
          <w:tcPr>
            <w:tcW w:type="dxa" w:w="27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区分描述性差距与已认证差距。</w:t>
            </w:r>
          </w:p>
        </w:tc>
      </w:tr>
      <w:tr>
        <w:trPr>
          <w:cantSplit/>
        </w:trPr>
        <w:tc>
          <w:tcPr>
            <w:tcW w:type="dxa" w:w="29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缺字段时容易静默退化。</w:t>
            </w:r>
          </w:p>
        </w:tc>
        <w:tc>
          <w:tcPr>
            <w:tcW w:type="dxa" w:w="39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formal 模式 hard fail；exploratory 模式显式标记覆盖范围。</w:t>
            </w:r>
          </w:p>
        </w:tc>
        <w:tc>
          <w:tcPr>
            <w:tcW w:type="dxa" w:w="27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提高复现性，同时保留开源可用性。</w:t>
            </w:r>
          </w:p>
        </w:tc>
      </w:tr>
      <w:tr>
        <w:trPr>
          <w:cantSplit/>
        </w:trPr>
        <w:tc>
          <w:tcPr>
            <w:tcW w:type="dxa" w:w="29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一个数字无法说明模型整体是否好。</w:t>
            </w:r>
          </w:p>
        </w:tc>
        <w:tc>
          <w:tcPr>
            <w:tcW w:type="dxa" w:w="39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联报 mean risk、tail risk、GeoBWER、支持质量与有效性状态。</w:t>
            </w:r>
          </w:p>
        </w:tc>
        <w:tc>
          <w:tcPr>
            <w:tcW w:type="dxa" w:w="27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避免“所有地区都同样差，所以公平分为 0”的误读。</w:t>
            </w:r>
          </w:p>
        </w:tc>
      </w:tr>
    </w:tbl>
    <w:p>
      <w:pPr>
        <w:spacing w:after="0"/>
      </w:pPr>
    </w:p>
    <w:p>
      <w:pPr>
        <w:spacing w:before="60" w:after="100" w:line="252" w:lineRule="auto"/>
        <w:ind w:left="173" w:right="115"/>
        <w:shd w:fill="E8F6F3"/>
        <w:pBdr>
          <w:left w:val="single" w:sz="18" w:space="6" w:color="147D73"/>
        </w:pBdr>
      </w:pPr>
      <w:r>
        <w:rPr>
          <w:rFonts w:ascii="Calibri" w:hAnsi="Calibri" w:eastAsia="Microsoft YaHei"/>
          <w:b/>
          <w:color w:val="147D73"/>
          <w:sz w:val="20"/>
        </w:rPr>
        <w:t xml:space="preserve">风险包络解释  </w:t>
      </w:r>
      <w:r>
        <w:rPr>
          <w:rFonts w:ascii="Calibri" w:hAnsi="Calibri" w:eastAsia="Microsoft YaHei"/>
          <w:color w:val="1F2933"/>
          <w:sz w:val="19"/>
        </w:rPr>
        <w:t>GeoBWER 等价于允许审计者在不超过 μg/β 的约束下，把部署质量重新集中到最不利切片，再比较该最坏重加权风险与原始平均风险。这让指标具有明确的“最坏部署重加权”含义。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rPr>
          <w:rFonts w:ascii="Calibri" w:hAnsi="Calibri" w:eastAsia="Microsoft YaHei"/>
          <w:b/>
          <w:color w:val="1F4E79"/>
          <w:sz w:val="44"/>
        </w:rPr>
        <w:t>6. 不只是一个分数：同一 GeoBWER 泛函接收不同风险输入</w:t>
      </w:r>
    </w:p>
    <w:p>
      <w:pPr>
        <w:spacing w:after="280"/>
      </w:pPr>
      <w:r>
        <w:rPr>
          <w:rFonts w:ascii="Calibri" w:hAnsi="Calibri" w:eastAsia="Microsoft YaHei"/>
          <w:color w:val="5B6573"/>
          <w:sz w:val="23"/>
        </w:rPr>
        <w:t>Raw、Standardised、Selective、Conformal 是一个统一家族，而不是互不相干的指标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1736"/>
        <w:gridCol w:w="2847"/>
        <w:gridCol w:w="2708"/>
        <w:gridCol w:w="2429"/>
      </w:tblGrid>
      <w:tr>
        <w:trPr>
          <w:tblHeader w:val="true"/>
        </w:trPr>
        <w:tc>
          <w:tcPr>
            <w:tcW w:type="dxa" w:w="1736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847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它问的问题</w:t>
            </w:r>
          </w:p>
        </w:tc>
        <w:tc>
          <w:tcPr>
            <w:tcW w:type="dxa" w:w="2708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风险输入</w:t>
            </w:r>
          </w:p>
        </w:tc>
        <w:tc>
          <w:tcPr>
            <w:tcW w:type="dxa" w:w="2429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必须同时报告</w:t>
            </w:r>
          </w:p>
        </w:tc>
      </w:tr>
      <w:tr>
        <w:trPr>
          <w:cantSplit/>
        </w:trPr>
        <w:tc>
          <w:tcPr>
            <w:tcW w:type="dxa" w:w="1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Raw-GeoBWER</w:t>
            </w:r>
          </w:p>
        </w:tc>
        <w:tc>
          <w:tcPr>
            <w:tcW w:type="dxa" w:w="28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哪些部署切片的实际任务风险最高？</w:t>
            </w:r>
          </w:p>
        </w:tc>
        <w:tc>
          <w:tcPr>
            <w:tcW w:type="dxa" w:w="27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分类错误、BCE/Hamming、事件级分割损失等。</w:t>
            </w:r>
          </w:p>
        </w:tc>
        <w:tc>
          <w:tcPr>
            <w:tcW w:type="dxa" w:w="24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平均风险、尾部风险、支持量、CI/LCB。</w:t>
            </w:r>
          </w:p>
        </w:tc>
      </w:tr>
      <w:tr>
        <w:trPr>
          <w:cantSplit/>
        </w:trPr>
        <w:tc>
          <w:tcPr>
            <w:tcW w:type="dxa" w:w="1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Standardised-GeoBWER</w:t>
            </w:r>
          </w:p>
        </w:tc>
        <w:tc>
          <w:tcPr>
            <w:tcW w:type="dxa" w:w="28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控制类别/难度组成后，地理差距还存在吗？</w:t>
            </w:r>
          </w:p>
        </w:tc>
        <w:tc>
          <w:tcPr>
            <w:tcW w:type="dxa" w:w="27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按共同参考组成 π* 标准化后的切片风险。</w:t>
            </w:r>
          </w:p>
        </w:tc>
        <w:tc>
          <w:tcPr>
            <w:tcW w:type="dxa" w:w="24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参考组成、缺失单元、strict/overlap/partial bounds。</w:t>
            </w:r>
          </w:p>
        </w:tc>
      </w:tr>
      <w:tr>
        <w:trPr>
          <w:cantSplit/>
        </w:trPr>
        <w:tc>
          <w:tcPr>
            <w:tcW w:type="dxa" w:w="1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Selective-GeoBWER</w:t>
            </w:r>
          </w:p>
        </w:tc>
        <w:tc>
          <w:tcPr>
            <w:tcW w:type="dxa" w:w="28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模型只处理有信心的样本后，尾部不公平是否改善？</w:t>
            </w:r>
          </w:p>
        </w:tc>
        <w:tc>
          <w:tcPr>
            <w:tcW w:type="dxa" w:w="27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被接受样本上的任务损失。</w:t>
            </w:r>
          </w:p>
        </w:tc>
        <w:tc>
          <w:tcPr>
            <w:tcW w:type="dxa" w:w="24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每组 coverage；零接受组必须标为不可识别。</w:t>
            </w:r>
          </w:p>
        </w:tc>
      </w:tr>
      <w:tr>
        <w:trPr>
          <w:cantSplit/>
        </w:trPr>
        <w:tc>
          <w:tcPr>
            <w:tcW w:type="dxa" w:w="1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Conformal-GeoBWER</w:t>
            </w:r>
          </w:p>
        </w:tc>
        <w:tc>
          <w:tcPr>
            <w:tcW w:type="dxa" w:w="28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达到目标覆盖率的预测集合，是否对所有切片同样可靠？</w:t>
            </w:r>
          </w:p>
        </w:tc>
        <w:tc>
          <w:tcPr>
            <w:tcW w:type="dxa" w:w="27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miscoverage：真实标签不在集合中。</w:t>
            </w:r>
          </w:p>
        </w:tc>
        <w:tc>
          <w:tcPr>
            <w:tcW w:type="dxa" w:w="24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总体/最差 coverage、set size、coverage debt。</w:t>
            </w:r>
          </w:p>
        </w:tc>
      </w:tr>
      <w:tr>
        <w:trPr>
          <w:cantSplit/>
        </w:trPr>
        <w:tc>
          <w:tcPr>
            <w:tcW w:type="dxa" w:w="1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CRC-GeoBWER</w:t>
            </w:r>
          </w:p>
        </w:tc>
        <w:tc>
          <w:tcPr>
            <w:tcW w:type="dxa" w:w="28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多标签或分割任务的漏标/漏检承诺，在哪些切片失效？</w:t>
            </w:r>
          </w:p>
        </w:tc>
        <w:tc>
          <w:tcPr>
            <w:tcW w:type="dxa" w:w="27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每个独立单位的单调风险，如 false-negative risk。</w:t>
            </w:r>
          </w:p>
        </w:tc>
        <w:tc>
          <w:tcPr>
            <w:tcW w:type="dxa" w:w="24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目标风险、违反量、效率与空间/cluster 依赖。</w:t>
            </w:r>
          </w:p>
        </w:tc>
      </w:tr>
    </w:tbl>
    <w:p>
      <w:pPr>
        <w:spacing w:after="0"/>
      </w:pPr>
    </w:p>
    <w:p>
      <w:pPr>
        <w:spacing w:before="60" w:after="160" w:line="252" w:lineRule="auto"/>
        <w:ind w:left="173" w:right="115"/>
        <w:shd w:fill="EAF4EA"/>
        <w:pBdr>
          <w:left w:val="single" w:sz="18" w:space="6" w:color="2E7D32"/>
        </w:pBdr>
      </w:pPr>
      <w:r>
        <w:rPr>
          <w:rFonts w:ascii="Calibri" w:hAnsi="Calibri" w:eastAsia="Microsoft YaHei"/>
          <w:b/>
          <w:color w:val="2E7D32"/>
          <w:sz w:val="21"/>
        </w:rPr>
        <w:t xml:space="preserve">统一性的关键  </w:t>
      </w:r>
      <w:r>
        <w:rPr>
          <w:rFonts w:ascii="Calibri" w:hAnsi="Calibri" w:eastAsia="Microsoft YaHei"/>
          <w:color w:val="1F2933"/>
          <w:sz w:val="20"/>
        </w:rPr>
        <w:t>变的是每个样本或独立单位如何定义“风险”；不变的是“先聚合切片风险，再计算尾部风险−平均风险，并做支持与推断认证”。</w:t>
      </w:r>
    </w:p>
    <w:p>
      <w:pPr>
        <w:spacing w:before="40" w:after="160" w:line="276" w:lineRule="auto"/>
        <w:jc w:val="center"/>
        <w:shd w:fill="F7F9FC"/>
      </w:pPr>
      <w:r>
        <w:rPr>
          <w:rFonts w:ascii="Cambria Math" w:hAnsi="Cambria Math" w:eastAsia="Microsoft YaHei"/>
          <w:color w:val="1F2933"/>
          <w:sz w:val="24"/>
        </w:rPr>
        <w:t>模型输出  →  任务风险  →  部署切片风险 Rg  →  GeoBWERβ,μ  →  Audit Card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rPr>
          <w:rFonts w:ascii="Calibri" w:hAnsi="Calibri" w:eastAsia="Microsoft YaHei"/>
          <w:b/>
          <w:color w:val="1F4E79"/>
          <w:sz w:val="44"/>
        </w:rPr>
        <w:t>7. Standardised 与 Selective：原有好思想如何被补强</w:t>
      </w:r>
    </w:p>
    <w:p>
      <w:pPr>
        <w:spacing w:after="280"/>
      </w:pPr>
      <w:r>
        <w:rPr>
          <w:rFonts w:ascii="Calibri" w:hAnsi="Calibri" w:eastAsia="Microsoft YaHei"/>
          <w:color w:val="5B6573"/>
          <w:sz w:val="23"/>
        </w:rPr>
        <w:t>两者被保留，但现在明确了可识别条件和失败状态</w:t>
      </w:r>
    </w:p>
    <w:p>
      <w:pPr>
        <w:pStyle w:val="Heading2"/>
      </w:pPr>
      <w:r>
        <w:t>Standardised-GeoBWER：区分“组成不同”与“同类表现不同”</w:t>
      </w:r>
    </w:p>
    <w:p>
      <w:pPr>
        <w:spacing w:before="40" w:after="160" w:line="276" w:lineRule="auto"/>
        <w:jc w:val="center"/>
        <w:shd w:fill="EAF2F8"/>
      </w:pPr>
      <w:r>
        <w:rPr>
          <w:rFonts w:ascii="Cambria Math" w:hAnsi="Cambria Math" w:eastAsia="Microsoft YaHei"/>
          <w:color w:val="1F2933"/>
          <w:sz w:val="24"/>
        </w:rPr>
        <w:t>Rstdg = Σc π*c · E[L | group=g, class=c]</w:t>
      </w:r>
      <w:r>
        <w:br/>
      </w:r>
      <w:r>
        <w:rPr>
          <w:rFonts w:ascii="Cambria Math" w:hAnsi="Cambria Math" w:eastAsia="Microsoft YaHei"/>
          <w:color w:val="1F2933"/>
          <w:sz w:val="24"/>
        </w:rPr>
        <w:t>Standardised-GeoBWER = GeoBWERβ,μ(Rstd)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4497"/>
        <w:gridCol w:w="5223"/>
      </w:tblGrid>
      <w:tr>
        <w:trPr>
          <w:tblHeader w:val="true"/>
        </w:trPr>
        <w:tc>
          <w:tcPr>
            <w:tcW w:type="dxa" w:w="4497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以前的风险</w:t>
            </w:r>
          </w:p>
        </w:tc>
        <w:tc>
          <w:tcPr>
            <w:tcW w:type="dxa" w:w="5223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当前处理</w:t>
            </w:r>
          </w:p>
        </w:tc>
      </w:tr>
      <w:tr>
        <w:trPr>
          <w:cantSplit/>
        </w:trPr>
        <w:tc>
          <w:tcPr>
            <w:tcW w:type="dxa" w:w="44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某国看起来更差，可能只是因为困难类别比例更高。</w:t>
            </w:r>
          </w:p>
        </w:tc>
        <w:tc>
          <w:tcPr>
            <w:tcW w:type="dxa" w:w="52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用共同参考类别组成 π* 重新加权各国风险。</w:t>
            </w:r>
          </w:p>
        </w:tc>
      </w:tr>
      <w:tr>
        <w:trPr>
          <w:cantSplit/>
        </w:trPr>
        <w:tc>
          <w:tcPr>
            <w:tcW w:type="dxa" w:w="44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国家×类别单元缺失时，静默重归一化会改变 estimand。</w:t>
            </w:r>
          </w:p>
        </w:tc>
        <w:tc>
          <w:tcPr>
            <w:tcW w:type="dxa" w:w="52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strict 模式直接标为不可识别；overlap 与 partial bounds 只作明确敏感性。</w:t>
            </w:r>
          </w:p>
        </w:tc>
      </w:tr>
      <w:tr>
        <w:trPr>
          <w:cantSplit/>
        </w:trPr>
        <w:tc>
          <w:tcPr>
            <w:tcW w:type="dxa" w:w="44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不同模型缺失单元不同，标准化分数不可比。</w:t>
            </w:r>
          </w:p>
        </w:tc>
        <w:tc>
          <w:tcPr>
            <w:tcW w:type="dxa" w:w="52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共同支持与相同参考组成下做配对比较。</w:t>
            </w:r>
          </w:p>
        </w:tc>
      </w:tr>
    </w:tbl>
    <w:p>
      <w:pPr>
        <w:spacing w:after="0"/>
      </w:pPr>
    </w:p>
    <w:p>
      <w:pPr>
        <w:pStyle w:val="Heading2"/>
      </w:pPr>
      <w:r>
        <w:t>Selective-GeoBWER：低风险不能以“拒绝服务”换来</w:t>
      </w:r>
    </w:p>
    <w:p>
      <w:pPr>
        <w:spacing w:before="40" w:after="160" w:line="276" w:lineRule="auto"/>
        <w:jc w:val="center"/>
        <w:shd w:fill="E8F6F3"/>
      </w:pPr>
      <w:r>
        <w:rPr>
          <w:rFonts w:ascii="Cambria Math" w:hAnsi="Cambria Math" w:eastAsia="Microsoft YaHei"/>
          <w:color w:val="1F2933"/>
          <w:sz w:val="24"/>
        </w:rPr>
        <w:t>Rselg(τ) = E[L | confidence≥τ, group=g]</w:t>
      </w:r>
      <w:r>
        <w:br/>
      </w:r>
      <w:r>
        <w:rPr>
          <w:rFonts w:ascii="Cambria Math" w:hAnsi="Cambria Math" w:eastAsia="Microsoft YaHei"/>
          <w:color w:val="1F2933"/>
          <w:sz w:val="24"/>
        </w:rPr>
        <w:t>coverageg(τ) = P(confidence≥τ | group=g)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3"/>
          <w:sz w:val="21"/>
        </w:rPr>
        <w:t>旧版容易只看到“接受后的准确率提高”；新版强制把 coverage 一起画成风险—覆盖曲线。若某组一个样本都不接受，则该组的选择性风险不是 0，而是“不可识别”。</w:t>
      </w:r>
    </w:p>
    <w:p>
      <w:pPr>
        <w:spacing w:before="60" w:after="100" w:line="252" w:lineRule="auto"/>
        <w:ind w:left="173" w:right="115"/>
        <w:shd w:fill="FCE4D6"/>
        <w:pBdr>
          <w:left w:val="single" w:sz="18" w:space="6" w:color="C55A11"/>
        </w:pBdr>
      </w:pPr>
      <w:r>
        <w:rPr>
          <w:rFonts w:ascii="Calibri" w:hAnsi="Calibri" w:eastAsia="Microsoft YaHei"/>
          <w:b/>
          <w:color w:val="C55A11"/>
          <w:sz w:val="20"/>
        </w:rPr>
        <w:t xml:space="preserve">通俗例子  </w:t>
      </w:r>
      <w:r>
        <w:rPr>
          <w:rFonts w:ascii="Calibri" w:hAnsi="Calibri" w:eastAsia="Microsoft YaHei"/>
          <w:color w:val="1F2933"/>
          <w:sz w:val="19"/>
        </w:rPr>
        <w:t>模型在城市地区接受 90% 样本、在偏远地区只接受 5%。即使两边被接受样本同样准确，也不能称为公平：偏远地区承担了更高的服务排除。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rPr>
          <w:rFonts w:ascii="Calibri" w:hAnsi="Calibri" w:eastAsia="Microsoft YaHei"/>
          <w:b/>
          <w:color w:val="1F4E79"/>
          <w:sz w:val="44"/>
        </w:rPr>
        <w:t>8. Conformal：从“强行单选”到“诚实给出候选集合”</w:t>
      </w:r>
    </w:p>
    <w:p>
      <w:pPr>
        <w:spacing w:after="280"/>
      </w:pPr>
      <w:r>
        <w:rPr>
          <w:rFonts w:ascii="Calibri" w:hAnsi="Calibri" w:eastAsia="Microsoft YaHei"/>
          <w:color w:val="5B6573"/>
          <w:sz w:val="23"/>
        </w:rPr>
        <w:t>它与 Selective 互补，不是简单替代关系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3"/>
          <w:sz w:val="21"/>
        </w:rPr>
        <w:t>假设模型判断一张遥感图像的土地类型。普通预测只输出“草地”；Conformal Prediction 可能输出 {草地，灌木地}。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26742"/>
            <wp:docPr id="2" name="Picture 2" descr="从模型类别概率、独立校准集、预测集合到 GeoBWER 切片误覆盖审计的流程图。" title="Conformal 与 GeoBWER 审计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ormal_geobwer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267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1656"/>
        <w:gridCol w:w="3888"/>
        <w:gridCol w:w="4176"/>
      </w:tblGrid>
      <w:tr>
        <w:trPr>
          <w:tblHeader w:val="true"/>
        </w:trPr>
        <w:tc>
          <w:tcPr>
            <w:tcW w:type="dxa" w:w="1656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888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模型如何表达不确定性</w:t>
            </w:r>
          </w:p>
        </w:tc>
        <w:tc>
          <w:tcPr>
            <w:tcW w:type="dxa" w:w="4176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公平性审计关注点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Selective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8"/>
              </w:rPr>
              <w:t>接受一个标签，或拒绝整次预测。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8"/>
              </w:rPr>
              <w:t>哪些切片被更频繁拒绝？接受后风险是否仍有尾部差距？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8"/>
              </w:rPr>
              <w:t>Conformal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8"/>
              </w:rPr>
              <w:t>输出一个可能包含多个类别的集合。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8"/>
              </w:rPr>
              <w:t>哪些切片的真实标签更常落在集合之外？集合是否异常庞大？</w:t>
            </w:r>
          </w:p>
        </w:tc>
      </w:tr>
    </w:tbl>
    <w:p>
      <w:pPr>
        <w:spacing w:after="0"/>
      </w:pPr>
    </w:p>
    <w:p>
      <w:pPr>
        <w:spacing w:before="60" w:after="160" w:line="252" w:lineRule="auto"/>
        <w:ind w:left="173" w:right="115"/>
        <w:shd w:fill="FDEDEC"/>
        <w:pBdr>
          <w:left w:val="single" w:sz="18" w:space="6" w:color="B03A2E"/>
        </w:pBdr>
      </w:pPr>
      <w:r>
        <w:rPr>
          <w:rFonts w:ascii="Calibri" w:hAnsi="Calibri" w:eastAsia="Microsoft YaHei"/>
          <w:b/>
          <w:color w:val="B03A2E"/>
          <w:sz w:val="21"/>
        </w:rPr>
        <w:t xml:space="preserve">为什么不能只报 Conformal-GeoBWER？  </w:t>
      </w:r>
      <w:r>
        <w:rPr>
          <w:rFonts w:ascii="Calibri" w:hAnsi="Calibri" w:eastAsia="Microsoft YaHei"/>
          <w:color w:val="1F2933"/>
          <w:sz w:val="20"/>
        </w:rPr>
        <w:t>若所有地区误覆盖率都是 30%，地区差距可接近 0，但 90% coverage 承诺已经整体失败。因此必须同时报告总体 coverage、最差切片 coverage、集合大小和超过目标风险的 debt。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rPr>
          <w:rFonts w:ascii="Calibri" w:hAnsi="Calibri" w:eastAsia="Microsoft YaHei"/>
          <w:b/>
          <w:color w:val="1F4E79"/>
          <w:sz w:val="44"/>
        </w:rPr>
        <w:t>9. 从 GeoConformal 论文到本项目：借鉴思想，但不越过理论边界</w:t>
      </w:r>
    </w:p>
    <w:p>
      <w:pPr>
        <w:spacing w:after="280"/>
      </w:pPr>
      <w:r>
        <w:rPr>
          <w:rFonts w:ascii="Calibri" w:hAnsi="Calibri" w:eastAsia="Microsoft YaHei"/>
          <w:color w:val="5B6573"/>
          <w:sz w:val="23"/>
        </w:rPr>
        <w:t>正式理论锚点与空间局部 comparator 分层设计</w:t>
      </w:r>
    </w:p>
    <w:p>
      <w:pPr>
        <w:pStyle w:val="Heading2"/>
      </w:pPr>
      <w:r>
        <w:t>原论文的核心思路</w:t>
      </w:r>
    </w:p>
    <w:p>
      <w:pPr>
        <w:spacing w:after="120" w:line="264" w:lineRule="auto"/>
      </w:pPr>
      <w:r>
        <w:rPr>
          <w:rFonts w:ascii="Calibri" w:hAnsi="Calibri" w:eastAsia="Microsoft YaHei"/>
          <w:color w:val="1F2933"/>
          <w:sz w:val="21"/>
        </w:rPr>
        <w:t>GeoConformal Prediction 将 split conformal 的校准误差按地理距离加权：离某个测试地点更近的校准样本权重更大，从而让不同地点得到不同的局部不确定性区间或预测集合。它特别适合揭示“全球平均覆盖正常、局部区域仍然失效”。</w:t>
      </w:r>
    </w:p>
    <w:p>
      <w:pPr>
        <w:pStyle w:val="Heading2"/>
      </w:pPr>
      <w:r>
        <w:t>本项目为什么不能直接把地理核权重当作正式保证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5112"/>
      </w:tblGrid>
      <w:tr>
        <w:trPr>
          <w:tblHeader w:val="true"/>
        </w:trPr>
        <w:tc>
          <w:tcPr>
            <w:tcW w:type="dxa" w:w="460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理论事实</w:t>
            </w:r>
          </w:p>
        </w:tc>
        <w:tc>
          <w:tcPr>
            <w:tcW w:type="dxa" w:w="5112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本项目的决策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加权 conformal 在 covariate shift 下的有限样本保证，需要密度比或加权可交换性等条件。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普通 split CP / CRC 保留为正式理论锚点。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任意测试点中心的地理核权重，并不会自动继承上述保证；朴素局部 CP 可能欠覆盖或过覆盖。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地理核版本准确标记为“经验空间局部 comparator”，不夸大为无条件保证。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局部方法仍有重要诊断价值：能展示覆盖债务是否具有空间结构。</w:t>
            </w:r>
          </w:p>
        </w:tc>
        <w:tc>
          <w:tcPr>
            <w:tcW w:type="dxa" w:w="51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预注册 bandwidth、只在校准集选择尺度，并报告 ESS、最近距离、可识别比例。</w:t>
            </w:r>
          </w:p>
        </w:tc>
      </w:tr>
    </w:tbl>
    <w:p>
      <w:pPr>
        <w:spacing w:after="0"/>
      </w:pPr>
    </w:p>
    <w:p>
      <w:pPr>
        <w:spacing w:before="60" w:after="160" w:line="252" w:lineRule="auto"/>
        <w:ind w:left="173" w:right="115"/>
        <w:shd w:fill="EAF4EA"/>
        <w:pBdr>
          <w:left w:val="single" w:sz="18" w:space="6" w:color="2E7D32"/>
        </w:pBdr>
      </w:pPr>
      <w:r>
        <w:rPr>
          <w:rFonts w:ascii="Calibri" w:hAnsi="Calibri" w:eastAsia="Microsoft YaHei"/>
          <w:b/>
          <w:color w:val="2E7D32"/>
          <w:sz w:val="21"/>
        </w:rPr>
        <w:t xml:space="preserve">这不是保守退让  </w:t>
      </w:r>
      <w:r>
        <w:rPr>
          <w:rFonts w:ascii="Calibri" w:hAnsi="Calibri" w:eastAsia="Microsoft YaHei"/>
          <w:color w:val="1F2933"/>
          <w:sz w:val="20"/>
        </w:rPr>
        <w:t>分层命名反而增强可信度：正式 CP/CRC 回答“承诺是否有理论锚点”，地理 comparator 回答“失效是否局部化、空间化”。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rPr>
          <w:rFonts w:ascii="Calibri" w:hAnsi="Calibri" w:eastAsia="Microsoft YaHei"/>
          <w:b/>
          <w:color w:val="1F4E79"/>
          <w:sz w:val="44"/>
        </w:rPr>
        <w:t>10. 四类任务如何实现 Conformal / GeoConformal</w:t>
      </w:r>
    </w:p>
    <w:p>
      <w:pPr>
        <w:spacing w:after="280"/>
      </w:pPr>
      <w:r>
        <w:rPr>
          <w:rFonts w:ascii="Calibri" w:hAnsi="Calibri" w:eastAsia="Microsoft YaHei"/>
          <w:color w:val="5B6573"/>
          <w:sz w:val="23"/>
        </w:rPr>
        <w:t>统一的是审计逻辑；任务输出形式必须适配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1678"/>
        <w:gridCol w:w="2587"/>
        <w:gridCol w:w="2447"/>
        <w:gridCol w:w="3008"/>
      </w:tblGrid>
      <w:tr>
        <w:trPr>
          <w:tblHeader w:val="true"/>
        </w:trPr>
        <w:tc>
          <w:tcPr>
            <w:tcW w:type="dxa" w:w="1678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2587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正式不确定性模块</w:t>
            </w:r>
          </w:p>
        </w:tc>
        <w:tc>
          <w:tcPr>
            <w:tcW w:type="dxa" w:w="2447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空间局部模块</w:t>
            </w:r>
          </w:p>
        </w:tc>
        <w:tc>
          <w:tcPr>
            <w:tcW w:type="dxa" w:w="3008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原因与解释</w:t>
            </w:r>
          </w:p>
        </w:tc>
      </w:tr>
      <w:tr>
        <w:trPr>
          <w:cantSplit/>
        </w:trPr>
        <w:tc>
          <w:tcPr>
            <w:tcW w:type="dxa" w:w="16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AlphaEarth</w:t>
              <w:br/>
              <w:t>单标签土地覆盖</w:t>
            </w:r>
          </w:p>
        </w:tc>
        <w:tc>
          <w:tcPr>
            <w:tcW w:type="dxa" w:w="2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LAC / APS / RAPS prediction sets</w:t>
            </w:r>
          </w:p>
        </w:tc>
        <w:tc>
          <w:tcPr>
            <w:tcW w:type="dxa" w:w="2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地理核 prediction-set comparator</w:t>
            </w:r>
          </w:p>
        </w:tc>
        <w:tc>
          <w:tcPr>
            <w:tcW w:type="dxa" w:w="3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全球坐标、大样本、空间块最完整；是 GeoConformal 思想最自然的主试验台。</w:t>
            </w:r>
          </w:p>
        </w:tc>
      </w:tr>
      <w:tr>
        <w:trPr>
          <w:cantSplit/>
        </w:trPr>
        <w:tc>
          <w:tcPr>
            <w:tcW w:type="dxa" w:w="16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fMoW-Sentinel</w:t>
              <w:br/>
              <w:t>62 类分类</w:t>
            </w:r>
          </w:p>
        </w:tc>
        <w:tc>
          <w:tcPr>
            <w:tcW w:type="dxa" w:w="2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LAC / APS / RAPS</w:t>
            </w:r>
          </w:p>
        </w:tc>
        <w:tc>
          <w:tcPr>
            <w:tcW w:type="dxa" w:w="2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仅在坐标与局部有效样本量门控通过时运行</w:t>
            </w:r>
          </w:p>
        </w:tc>
        <w:tc>
          <w:tcPr>
            <w:tcW w:type="dxa" w:w="3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完整 62 维概率可构造候选集合；坐标来源和局部支持必须先验证。</w:t>
            </w:r>
          </w:p>
        </w:tc>
      </w:tr>
      <w:tr>
        <w:trPr>
          <w:cantSplit/>
        </w:trPr>
        <w:tc>
          <w:tcPr>
            <w:tcW w:type="dxa" w:w="16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reBEN</w:t>
              <w:br/>
              <w:t>多标签分类</w:t>
            </w:r>
          </w:p>
        </w:tc>
        <w:tc>
          <w:tcPr>
            <w:tcW w:type="dxa" w:w="2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Conformal Risk Control：控制漏标等单调风险</w:t>
            </w:r>
          </w:p>
        </w:tc>
        <w:tc>
          <w:tcPr>
            <w:tcW w:type="dxa" w:w="2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做空间适用性 preflight，不强行复制单标签集合</w:t>
            </w:r>
          </w:p>
        </w:tc>
        <w:tc>
          <w:tcPr>
            <w:tcW w:type="dxa" w:w="3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一张图本来就有多个标签；CRC 比单标签 APS 更符合任务语义。</w:t>
            </w:r>
          </w:p>
        </w:tc>
      </w:tr>
      <w:tr>
        <w:trPr>
          <w:cantSplit/>
        </w:trPr>
        <w:tc>
          <w:tcPr>
            <w:tcW w:type="dxa" w:w="16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Sen1Floods11</w:t>
              <w:br/>
              <w:t>像素分割</w:t>
            </w:r>
          </w:p>
        </w:tc>
        <w:tc>
          <w:tcPr>
            <w:tcW w:type="dxa" w:w="25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CRC：控制事件/图块级漏检或分割风险</w:t>
            </w:r>
          </w:p>
        </w:tc>
        <w:tc>
          <w:tcPr>
            <w:tcW w:type="dxa" w:w="24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支持和空间几何足够才进入局部比较</w:t>
            </w:r>
          </w:p>
        </w:tc>
        <w:tc>
          <w:tcPr>
            <w:tcW w:type="dxa" w:w="3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逐像素集合容易变成大量 {洪水, 非洪水}；事件级风险控制更可解释。</w:t>
            </w:r>
          </w:p>
        </w:tc>
      </w:tr>
    </w:tbl>
    <w:p>
      <w:pPr>
        <w:spacing w:after="0"/>
      </w:pPr>
    </w:p>
    <w:p>
      <w:pPr>
        <w:spacing w:before="60" w:after="160" w:line="252" w:lineRule="auto"/>
        <w:ind w:left="173" w:right="115"/>
        <w:shd w:fill="EAF2F8"/>
        <w:pBdr>
          <w:left w:val="single" w:sz="18" w:space="6" w:color="1F4E79"/>
        </w:pBdr>
      </w:pPr>
      <w:r>
        <w:rPr>
          <w:rFonts w:ascii="Calibri" w:hAnsi="Calibri" w:eastAsia="Microsoft YaHei"/>
          <w:b/>
          <w:color w:val="1F4E79"/>
          <w:sz w:val="21"/>
        </w:rPr>
        <w:t xml:space="preserve">统一后的共同流程  </w:t>
      </w:r>
      <w:r>
        <w:rPr>
          <w:rFonts w:ascii="Calibri" w:hAnsi="Calibri" w:eastAsia="Microsoft YaHei"/>
          <w:color w:val="1F2933"/>
          <w:sz w:val="20"/>
        </w:rPr>
        <w:t>固定模型 → 使用独立 calibration 确定集合或风险阈值 → 在 test 上计算逐单位误覆盖/漏检风险 → 用 GeoBWER 检查哪些部署切片承担不成比例的失败。</w:t>
      </w:r>
    </w:p>
    <w:p>
      <w:pPr>
        <w:spacing w:before="60" w:after="100" w:line="252" w:lineRule="auto"/>
        <w:ind w:left="173" w:right="115"/>
        <w:shd w:fill="F2F4F7"/>
        <w:pBdr>
          <w:left w:val="single" w:sz="18" w:space="6" w:color="5B6573"/>
        </w:pBdr>
      </w:pPr>
      <w:r>
        <w:rPr>
          <w:rFonts w:ascii="Calibri" w:hAnsi="Calibri" w:eastAsia="Microsoft YaHei"/>
          <w:b/>
          <w:color w:val="5B6573"/>
          <w:sz w:val="20"/>
        </w:rPr>
        <w:t xml:space="preserve">为什么不强行“四任务全覆盖同一算法”  </w:t>
      </w:r>
      <w:r>
        <w:rPr>
          <w:rFonts w:ascii="Calibri" w:hAnsi="Calibri" w:eastAsia="Microsoft YaHei"/>
          <w:color w:val="1F2933"/>
          <w:sz w:val="19"/>
        </w:rPr>
        <w:t>可复用不等于复制同一段公式。真正可复用的是稳定接口：任务先产生有意义的风险，再由同一 GeoBWER 协议审计。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rPr>
          <w:rFonts w:ascii="Calibri" w:hAnsi="Calibri" w:eastAsia="Microsoft YaHei"/>
          <w:b/>
          <w:color w:val="1F4E79"/>
          <w:sz w:val="44"/>
        </w:rPr>
        <w:t>11. AlphaEarth：补齐全球尺度与参考地图不确定性</w:t>
      </w:r>
    </w:p>
    <w:p>
      <w:pPr>
        <w:spacing w:after="280"/>
      </w:pPr>
      <w:r>
        <w:rPr>
          <w:rFonts w:ascii="Calibri" w:hAnsi="Calibri" w:eastAsia="Microsoft YaHei"/>
          <w:color w:val="5B6573"/>
          <w:sz w:val="23"/>
        </w:rPr>
        <w:t>这是上次汇报后最完整的新实验轴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1774"/>
        <w:gridCol w:w="3760"/>
        <w:gridCol w:w="4186"/>
      </w:tblGrid>
      <w:tr>
        <w:trPr>
          <w:tblHeader w:val="true"/>
        </w:trPr>
        <w:tc>
          <w:tcPr>
            <w:tcW w:type="dxa" w:w="177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组成</w:t>
            </w:r>
          </w:p>
        </w:tc>
        <w:tc>
          <w:tcPr>
            <w:tcW w:type="dxa" w:w="376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当前设计</w:t>
            </w:r>
          </w:p>
        </w:tc>
        <w:tc>
          <w:tcPr>
            <w:tcW w:type="dxa" w:w="418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回答的科学问题</w:t>
            </w:r>
          </w:p>
        </w:tc>
      </w:tr>
      <w:tr>
        <w:trPr>
          <w:cantSplit/>
        </w:trPr>
        <w:tc>
          <w:tcPr>
            <w:tcW w:type="dxa" w:w="17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数据与表征</w:t>
            </w:r>
          </w:p>
        </w:tc>
        <w:tc>
          <w:tcPr>
            <w:tcW w:type="dxa" w:w="3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156,246 个样本、111 个国家；AlphaEarth embeddings；多随机种子与尺度敏感性。</w:t>
            </w:r>
          </w:p>
        </w:tc>
        <w:tc>
          <w:tcPr>
            <w:tcW w:type="dxa" w:w="41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全球表征的平均性能是否掩盖国家、类别和交叉切片尾部失败？</w:t>
            </w:r>
          </w:p>
        </w:tc>
      </w:tr>
      <w:tr>
        <w:trPr>
          <w:cantSplit/>
        </w:trPr>
        <w:tc>
          <w:tcPr>
            <w:tcW w:type="dxa" w:w="17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空间协议</w:t>
            </w:r>
          </w:p>
        </w:tc>
        <w:tc>
          <w:tcPr>
            <w:tcW w:type="dxa" w:w="3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独立空间块 train / calibration / test；空间块推断。</w:t>
            </w:r>
          </w:p>
        </w:tc>
        <w:tc>
          <w:tcPr>
            <w:tcW w:type="dxa" w:w="41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随机像素划分是否高估部署可靠性？</w:t>
            </w:r>
          </w:p>
        </w:tc>
      </w:tr>
      <w:tr>
        <w:trPr>
          <w:cantSplit/>
        </w:trPr>
        <w:tc>
          <w:tcPr>
            <w:tcW w:type="dxa" w:w="17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评价参考</w:t>
            </w:r>
          </w:p>
        </w:tc>
        <w:tc>
          <w:tcPr>
            <w:tcW w:type="dxa" w:w="3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ESA WorldCover 为主参考；Dynamic World 用于歧义与产品敏感性诊断。</w:t>
            </w:r>
          </w:p>
        </w:tc>
        <w:tc>
          <w:tcPr>
            <w:tcW w:type="dxa" w:w="41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观察到的“错误”有多少可能来自参考地图分歧？</w:t>
            </w:r>
          </w:p>
        </w:tc>
      </w:tr>
      <w:tr>
        <w:trPr>
          <w:cantSplit/>
        </w:trPr>
        <w:tc>
          <w:tcPr>
            <w:tcW w:type="dxa" w:w="17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公平性轴</w:t>
            </w:r>
          </w:p>
        </w:tc>
        <w:tc>
          <w:tcPr>
            <w:tcW w:type="dxa" w:w="3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country、class、country×class、spatial block。</w:t>
            </w:r>
          </w:p>
        </w:tc>
        <w:tc>
          <w:tcPr>
            <w:tcW w:type="dxa" w:w="41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尾部失败是地理、语义还是交互机制？</w:t>
            </w:r>
          </w:p>
        </w:tc>
      </w:tr>
      <w:tr>
        <w:trPr>
          <w:cantSplit/>
        </w:trPr>
        <w:tc>
          <w:tcPr>
            <w:tcW w:type="dxa" w:w="17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6"/>
              </w:rPr>
              <w:t>不确定性</w:t>
            </w:r>
          </w:p>
        </w:tc>
        <w:tc>
          <w:tcPr>
            <w:tcW w:type="dxa" w:w="37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split conformal + coverage/set-size GeoBWER；地理核 comparator。</w:t>
            </w:r>
          </w:p>
        </w:tc>
        <w:tc>
          <w:tcPr>
            <w:tcW w:type="dxa" w:w="41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6"/>
              </w:rPr>
              <w:t>边际 coverage 是否掩盖局部 coverage debt？</w:t>
            </w:r>
          </w:p>
        </w:tc>
      </w:tr>
    </w:tbl>
    <w:p>
      <w:pPr>
        <w:spacing w:after="0"/>
      </w:pPr>
    </w:p>
    <w:p>
      <w:pPr>
        <w:pStyle w:val="Heading2"/>
      </w:pPr>
      <w:r>
        <w:t>目前最值得汇报的观察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1F2933"/>
          <w:sz w:val="19"/>
        </w:rPr>
        <w:t>WorldCover 与 Dynamic World 的一致率约为 50.3%，说明土地覆盖“真值”并非无噪声；因此正式表述改为 map disagreement / evaluation-reference risk。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1F2933"/>
          <w:sz w:val="19"/>
        </w:rPr>
        <w:t>在目标 90% coverage 下，空间块测试的边际 coverage 约为 88.99%，平均集合大小约 1.449：集合总体仍较精简，但空间转移已经造成覆盖债务。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1F2933"/>
          <w:sz w:val="19"/>
        </w:rPr>
        <w:t>因此 AlphaEarth 不只是“第四个数据集”，而是项目中解释参考地图歧义、空间转移与审计发现能力的机制实验。</w:t>
      </w:r>
    </w:p>
    <w:p>
      <w:pPr>
        <w:spacing w:before="60" w:after="160" w:line="252" w:lineRule="auto"/>
        <w:ind w:left="173" w:right="115"/>
        <w:shd w:fill="FCE4D6"/>
        <w:pBdr>
          <w:left w:val="single" w:sz="18" w:space="6" w:color="C55A11"/>
        </w:pBdr>
      </w:pPr>
      <w:r>
        <w:rPr>
          <w:rFonts w:ascii="Calibri" w:hAnsi="Calibri" w:eastAsia="Microsoft YaHei"/>
          <w:b/>
          <w:color w:val="C55A11"/>
          <w:sz w:val="21"/>
        </w:rPr>
        <w:t xml:space="preserve">表述边界  </w:t>
      </w:r>
      <w:r>
        <w:rPr>
          <w:rFonts w:ascii="Calibri" w:hAnsi="Calibri" w:eastAsia="Microsoft YaHei"/>
          <w:color w:val="1F2933"/>
          <w:sz w:val="20"/>
        </w:rPr>
        <w:t>不能把 WorldCover 不一致全部归因于模型不公平；更严谨也更有解释力的结论是：模型—参考图分歧在不同部署切片上分布不均，并与地图产品歧义相关。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rPr>
          <w:rFonts w:ascii="Calibri" w:hAnsi="Calibri" w:eastAsia="Microsoft YaHei"/>
          <w:b/>
          <w:color w:val="1F4E79"/>
          <w:sz w:val="44"/>
        </w:rPr>
        <w:t>12. 四个实验现在如何组成一条论文证据链</w:t>
      </w:r>
    </w:p>
    <w:p>
      <w:pPr>
        <w:spacing w:after="280"/>
      </w:pPr>
      <w:r>
        <w:rPr>
          <w:rFonts w:ascii="Calibri" w:hAnsi="Calibri" w:eastAsia="Microsoft YaHei"/>
          <w:color w:val="5B6573"/>
          <w:sz w:val="23"/>
        </w:rPr>
        <w:t>不是四个故事，而是四种部署切片可靠性的互补压力测试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1690"/>
        <w:gridCol w:w="3099"/>
        <w:gridCol w:w="4931"/>
      </w:tblGrid>
      <w:tr>
        <w:trPr>
          <w:tblHeader w:val="true"/>
        </w:trPr>
        <w:tc>
          <w:tcPr>
            <w:tcW w:type="dxa" w:w="1690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3099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主要部署轴</w:t>
            </w:r>
          </w:p>
        </w:tc>
        <w:tc>
          <w:tcPr>
            <w:tcW w:type="dxa" w:w="4931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在整篇论文中的证据角色</w:t>
            </w:r>
          </w:p>
        </w:tc>
      </w:tr>
      <w:tr>
        <w:trPr>
          <w:cantSplit/>
        </w:trP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Sen1Floods11</w:t>
            </w:r>
          </w:p>
        </w:tc>
        <w:tc>
          <w:tcPr>
            <w:tcW w:type="dxa" w:w="30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灾害事件 × 传感器模态</w:t>
            </w:r>
          </w:p>
        </w:tc>
        <w:tc>
          <w:tcPr>
            <w:tcW w:type="dxa" w:w="49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小 G、强相关场景：检验 fractional tail、事件 cluster 推断及强任务模型是否仍有事件尾部。</w:t>
            </w:r>
          </w:p>
        </w:tc>
      </w:tr>
      <w:tr>
        <w:trPr>
          <w:cantSplit/>
        </w:trP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fMoW-Sentinel</w:t>
            </w:r>
          </w:p>
        </w:tc>
        <w:tc>
          <w:tcPr>
            <w:tcW w:type="dxa" w:w="30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位置/国家 × 62 类</w:t>
            </w:r>
          </w:p>
        </w:tc>
        <w:tc>
          <w:tcPr>
            <w:tcW w:type="dxa" w:w="49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稀疏现实场景：检验地理泛化、平均—尾部排名反转、共同支持和模型概率质量。</w:t>
            </w:r>
          </w:p>
        </w:tc>
      </w:tr>
      <w:tr>
        <w:trPr>
          <w:cantSplit/>
        </w:trP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reBEN</w:t>
            </w:r>
          </w:p>
        </w:tc>
        <w:tc>
          <w:tcPr>
            <w:tcW w:type="dxa" w:w="30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国家 × S1/S2/融合</w:t>
            </w:r>
          </w:p>
        </w:tc>
        <w:tc>
          <w:tcPr>
            <w:tcW w:type="dxa" w:w="49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架构×模态因子场景：检验融合是否稳定改善或转移尾部风险。</w:t>
            </w:r>
          </w:p>
        </w:tc>
      </w:tr>
      <w:tr>
        <w:trPr>
          <w:cantSplit/>
        </w:trPr>
        <w:tc>
          <w:tcPr>
            <w:tcW w:type="dxa" w:w="16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AlphaEarth</w:t>
            </w:r>
          </w:p>
        </w:tc>
        <w:tc>
          <w:tcPr>
            <w:tcW w:type="dxa" w:w="30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全球国家 × 类别 × 空间块</w:t>
            </w:r>
          </w:p>
        </w:tc>
        <w:tc>
          <w:tcPr>
            <w:tcW w:type="dxa" w:w="49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支持密集且全球：检验空间转移、参考图歧义、尺度敏感性与 coverage debt。</w:t>
            </w:r>
          </w:p>
        </w:tc>
      </w:tr>
    </w:tbl>
    <w:p>
      <w:pPr>
        <w:spacing w:after="0"/>
      </w:pPr>
    </w:p>
    <w:p>
      <w:pPr>
        <w:pStyle w:val="Heading2"/>
      </w:pPr>
      <w:r>
        <w:t>当前科学状态：已完成什么，仍在验证什么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1761"/>
        <w:gridCol w:w="7959"/>
      </w:tblGrid>
      <w:tr>
        <w:trPr>
          <w:tblHeader w:val="true"/>
        </w:trPr>
        <w:tc>
          <w:tcPr>
            <w:tcW w:type="dxa" w:w="1761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959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已完成</w:t>
            </w:r>
          </w:p>
        </w:tc>
        <w:tc>
          <w:tcPr>
            <w:tcW w:type="dxa" w:w="79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GeoBWER 公式、风险包络、协议字段、支持/无效状态、cluster/spatial 推断、common-support 比较、任务级 Conformal/CRC 代码路径。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已有正式证据</w:t>
            </w:r>
          </w:p>
        </w:tc>
        <w:tc>
          <w:tcPr>
            <w:tcW w:type="dxa" w:w="79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BWER1 四任务基础结果；AlphaEarth full v2 150k；fMoW DOFAv2 正式输出；reBEN 多条 foundation 与 supervised 路线正在完成。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仍需冻结</w:t>
            </w:r>
          </w:p>
        </w:tc>
        <w:tc>
          <w:tcPr>
            <w:tcW w:type="dxa" w:w="79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全部三随机种子、同协议 baseline、Sen1 正式面板、最终共同支持配对差值与跨任务主表。</w:t>
            </w:r>
          </w:p>
        </w:tc>
      </w:tr>
      <w:tr>
        <w:trPr>
          <w:cantSplit/>
        </w:trPr>
        <w:tc>
          <w:tcPr>
            <w:tcW w:type="dxa" w:w="17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不应提前声称</w:t>
            </w:r>
          </w:p>
        </w:tc>
        <w:tc>
          <w:tcPr>
            <w:tcW w:type="dxa" w:w="79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并非所有观察到的正 GeoBWER 都已有非零 LCB；稀疏交叉切片应称 supported-cell exploratory analysis。</w:t>
            </w:r>
          </w:p>
        </w:tc>
      </w:tr>
    </w:tbl>
    <w:p>
      <w:pPr>
        <w:spacing w:after="0"/>
      </w:pPr>
    </w:p>
    <w:p>
      <w:pPr>
        <w:spacing w:before="60" w:after="160" w:line="252" w:lineRule="auto"/>
        <w:ind w:left="173" w:right="115"/>
        <w:shd w:fill="EAF4EA"/>
        <w:pBdr>
          <w:left w:val="single" w:sz="18" w:space="6" w:color="2E7D32"/>
        </w:pBdr>
      </w:pPr>
      <w:r>
        <w:rPr>
          <w:rFonts w:ascii="Calibri" w:hAnsi="Calibri" w:eastAsia="Microsoft YaHei"/>
          <w:b/>
          <w:color w:val="2E7D32"/>
          <w:sz w:val="21"/>
        </w:rPr>
        <w:t xml:space="preserve">对顶刊竞争力的实质提升  </w:t>
      </w:r>
      <w:r>
        <w:rPr>
          <w:rFonts w:ascii="Calibri" w:hAnsi="Calibri" w:eastAsia="Microsoft YaHei"/>
          <w:color w:val="1F2933"/>
          <w:sz w:val="20"/>
        </w:rPr>
        <w:t>提升主要来自“同一构念跨任务成立、协议公平、支持不足时不编造结论、至少一个支持密集任务能够给出认证效应”，而不是单纯把 BWER1 换成一个更复杂的数字。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rPr>
          <w:rFonts w:ascii="Calibri" w:hAnsi="Calibri" w:eastAsia="Microsoft YaHei"/>
          <w:b/>
          <w:color w:val="1F4E79"/>
          <w:sz w:val="44"/>
        </w:rPr>
        <w:t>13. 下一阶段：把方法升级转化为最终论文证据</w:t>
      </w:r>
    </w:p>
    <w:p>
      <w:pPr>
        <w:spacing w:after="280"/>
      </w:pPr>
      <w:r>
        <w:rPr>
          <w:rFonts w:ascii="Calibri" w:hAnsi="Calibri" w:eastAsia="Microsoft YaHei"/>
          <w:color w:val="5B6573"/>
          <w:sz w:val="23"/>
        </w:rPr>
        <w:t>先完成冻结实验，再统一生成跨任务 Audit Cards</w:t>
      </w:r>
    </w:p>
    <w:tbl>
      <w:tblPr>
        <w:tblStyle w:val="TableGrid"/>
        <w:tblW w:type="dxa" w:w="9720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916"/>
        <w:gridCol w:w="5987"/>
        <w:gridCol w:w="2817"/>
      </w:tblGrid>
      <w:tr>
        <w:trPr>
          <w:tblHeader w:val="true"/>
        </w:trPr>
        <w:tc>
          <w:tcPr>
            <w:tcW w:type="dxa" w:w="916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5987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下一步</w:t>
            </w:r>
          </w:p>
        </w:tc>
        <w:tc>
          <w:tcPr>
            <w:tcW w:type="dxa" w:w="2817"/>
            <w:vAlign w:val="center"/>
            <w:shd w:fill="147D7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产出</w:t>
            </w:r>
          </w:p>
        </w:tc>
      </w:tr>
      <w:tr>
        <w:trPr>
          <w:cantSplit/>
        </w:trPr>
        <w:tc>
          <w:tcPr>
            <w:tcW w:type="dxa" w:w="9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1</w:t>
            </w:r>
          </w:p>
        </w:tc>
        <w:tc>
          <w:tcPr>
            <w:tcW w:type="dxa" w:w="59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完成 reBEN 剩余 supervised ResNet-50 seeds；保持已完成模型跳过与同协议比较。</w:t>
            </w:r>
          </w:p>
        </w:tc>
        <w:tc>
          <w:tcPr>
            <w:tcW w:type="dxa" w:w="28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架构×模态主面板、seed 稳定性与 CRC-GeoBWER。</w:t>
            </w:r>
          </w:p>
        </w:tc>
      </w:tr>
      <w:tr>
        <w:trPr>
          <w:cantSplit/>
        </w:trPr>
        <w:tc>
          <w:tcPr>
            <w:tcW w:type="dxa" w:w="9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2</w:t>
            </w:r>
          </w:p>
        </w:tc>
        <w:tc>
          <w:tcPr>
            <w:tcW w:type="dxa" w:w="59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完成 fMoW common-9-band ResNet-50；与 DOFAv2 做共同支持配对差值。</w:t>
            </w:r>
          </w:p>
        </w:tc>
        <w:tc>
          <w:tcPr>
            <w:tcW w:type="dxa" w:w="28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平均性能与尾部公平性是否排名反转的正式证据。</w:t>
            </w:r>
          </w:p>
        </w:tc>
      </w:tr>
      <w:tr>
        <w:trPr>
          <w:cantSplit/>
        </w:trPr>
        <w:tc>
          <w:tcPr>
            <w:tcW w:type="dxa" w:w="9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3</w:t>
            </w:r>
          </w:p>
        </w:tc>
        <w:tc>
          <w:tcPr>
            <w:tcW w:type="dxa" w:w="59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完成 Sen1 TerraMind / U-Net 三模态与 Prithvi 外部参考。</w:t>
            </w:r>
          </w:p>
        </w:tc>
        <w:tc>
          <w:tcPr>
            <w:tcW w:type="dxa" w:w="28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事件×模态机制、CRC 与空间/事件 cluster 认证。</w:t>
            </w:r>
          </w:p>
        </w:tc>
      </w:tr>
      <w:tr>
        <w:trPr>
          <w:cantSplit/>
        </w:trPr>
        <w:tc>
          <w:tcPr>
            <w:tcW w:type="dxa" w:w="9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4</w:t>
            </w:r>
          </w:p>
        </w:tc>
        <w:tc>
          <w:tcPr>
            <w:tcW w:type="dxa" w:w="59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同步并冻结 AlphaEarth canonical lineage；补齐 GeoConformal comparator 和支持/效率报告。</w:t>
            </w:r>
          </w:p>
        </w:tc>
        <w:tc>
          <w:tcPr>
            <w:tcW w:type="dxa" w:w="28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全球 coverage debt、地图歧义机制与空间局部诊断。</w:t>
            </w:r>
          </w:p>
        </w:tc>
      </w:tr>
      <w:tr>
        <w:trPr>
          <w:cantSplit/>
        </w:trPr>
        <w:tc>
          <w:tcPr>
            <w:tcW w:type="dxa" w:w="9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b/>
                <w:color w:val="1F4E79"/>
                <w:sz w:val="17"/>
              </w:rPr>
              <w:t>5</w:t>
            </w:r>
          </w:p>
        </w:tc>
        <w:tc>
          <w:tcPr>
            <w:tcW w:type="dxa" w:w="59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只用逐样本正式表做 CPU 后处理：support frontier、多分辨率轴、主表和 Audit Cards。</w:t>
            </w:r>
          </w:p>
        </w:tc>
        <w:tc>
          <w:tcPr>
            <w:tcW w:type="dxa" w:w="28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1F2933"/>
                <w:sz w:val="17"/>
              </w:rPr>
              <w:t>主文确认性轴、附录探索轴和统一报告卡。</w:t>
            </w:r>
          </w:p>
        </w:tc>
      </w:tr>
    </w:tbl>
    <w:p>
      <w:pPr>
        <w:spacing w:after="0"/>
      </w:pPr>
    </w:p>
    <w:p>
      <w:pPr>
        <w:pStyle w:val="Heading2"/>
      </w:pPr>
      <w:r>
        <w:t>最终希望形成的论文表述</w:t>
      </w:r>
    </w:p>
    <w:p>
      <w:pPr>
        <w:spacing w:before="60" w:after="160" w:line="252" w:lineRule="auto"/>
        <w:ind w:left="173" w:right="115"/>
        <w:shd w:fill="EAF2F8"/>
        <w:pBdr>
          <w:left w:val="single" w:sz="18" w:space="6" w:color="1F4E79"/>
        </w:pBdr>
      </w:pPr>
      <w:r>
        <w:rPr>
          <w:rFonts w:ascii="Calibri" w:hAnsi="Calibri" w:eastAsia="Microsoft YaHei"/>
          <w:b/>
          <w:color w:val="1F4E79"/>
          <w:sz w:val="21"/>
        </w:rPr>
        <w:t xml:space="preserve">方法贡献  </w:t>
      </w:r>
      <w:r>
        <w:rPr>
          <w:rFonts w:ascii="Calibri" w:hAnsi="Calibri" w:eastAsia="Microsoft YaHei"/>
          <w:color w:val="1F2933"/>
          <w:sz w:val="20"/>
        </w:rPr>
        <w:t>GeoBWER 是一个模型无关、任务感知、支持空间依赖与部署标准化的 GeoFM 审计泛函与协议，用于量化最差 β 部署质量相对平均部署风险所承担的额外风险。</w:t>
      </w:r>
    </w:p>
    <w:p>
      <w:pPr>
        <w:spacing w:before="60" w:after="160" w:line="252" w:lineRule="auto"/>
        <w:ind w:left="173" w:right="115"/>
        <w:shd w:fill="EAF4EA"/>
        <w:pBdr>
          <w:left w:val="single" w:sz="18" w:space="6" w:color="2E7D32"/>
        </w:pBdr>
      </w:pPr>
      <w:r>
        <w:rPr>
          <w:rFonts w:ascii="Calibri" w:hAnsi="Calibri" w:eastAsia="Microsoft YaHei"/>
          <w:b/>
          <w:color w:val="2E7D32"/>
          <w:sz w:val="21"/>
        </w:rPr>
        <w:t xml:space="preserve">经验贡献  </w:t>
      </w:r>
      <w:r>
        <w:rPr>
          <w:rFonts w:ascii="Calibri" w:hAnsi="Calibri" w:eastAsia="Microsoft YaHei"/>
          <w:color w:val="1F2933"/>
          <w:sz w:val="20"/>
        </w:rPr>
        <w:t>四任务验证显示，平均性能、尾部部署风险、选择性服务覆盖和 conformal coverage 承诺可以产生不同甚至相反的模型判断；全球平均可靠并不保证每个事件、国家、类别或传感器条件同样可靠。</w:t>
      </w:r>
    </w:p>
    <w:p>
      <w:pPr>
        <w:spacing w:before="60" w:after="160" w:line="252" w:lineRule="auto"/>
        <w:ind w:left="173" w:right="115"/>
        <w:shd w:fill="FCE4D6"/>
        <w:pBdr>
          <w:left w:val="single" w:sz="18" w:space="6" w:color="C55A11"/>
        </w:pBdr>
      </w:pPr>
      <w:r>
        <w:rPr>
          <w:rFonts w:ascii="Calibri" w:hAnsi="Calibri" w:eastAsia="Microsoft YaHei"/>
          <w:b/>
          <w:color w:val="C55A11"/>
          <w:sz w:val="21"/>
        </w:rPr>
        <w:t xml:space="preserve">工具贡献  </w:t>
      </w:r>
      <w:r>
        <w:rPr>
          <w:rFonts w:ascii="Calibri" w:hAnsi="Calibri" w:eastAsia="Microsoft YaHei"/>
          <w:color w:val="1F2933"/>
          <w:sz w:val="20"/>
        </w:rPr>
        <w:t>最终将发布模型无关的 AuditTable、任务级 API 与 Audit Card，使第三方模型只需提供逐样本预测和部署元数据即可复用。</w:t>
      </w:r>
    </w:p>
    <w:p>
      <w:pPr>
        <w:spacing w:after="0" w:line="264" w:lineRule="auto"/>
      </w:pPr>
      <w:r>
        <w:rPr>
          <w:rFonts w:ascii="Calibri" w:hAnsi="Calibri" w:eastAsia="Microsoft YaHei"/>
          <w:color w:val="1F4E79"/>
          <w:sz w:val="21"/>
        </w:rPr>
        <w:t>建议汇报收束语：这次升级没有把项目从“公平性指标”带偏，反而让最初的 BWER 从一个有直觉的实验分数，成长为能够被其他 GeoFM 论文复用、比较和质疑的正式审计框架。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rPr>
          <w:rFonts w:ascii="Calibri" w:hAnsi="Calibri" w:eastAsia="Microsoft YaHei"/>
          <w:b/>
          <w:color w:val="1F4E79"/>
          <w:sz w:val="44"/>
        </w:rPr>
        <w:t>参考方法与汇报备注</w:t>
      </w:r>
    </w:p>
    <w:p>
      <w:pPr>
        <w:spacing w:after="280"/>
      </w:pPr>
      <w:r>
        <w:rPr>
          <w:rFonts w:ascii="Calibri" w:hAnsi="Calibri" w:eastAsia="Microsoft YaHei"/>
          <w:color w:val="5B6573"/>
          <w:sz w:val="23"/>
        </w:rPr>
        <w:t>正文保持直观；本页用于导师追问理论来源时快速定位</w:t>
      </w:r>
    </w:p>
    <w:p>
      <w:pPr>
        <w:spacing w:after="40"/>
      </w:pPr>
      <w:hyperlink r:id="rId13">
        <w:r>
          <w:rPr>
            <w:color w:val="2E75B6"/>
            <w:u w:val="single"/>
            <w:rFonts w:ascii="Calibri" w:hAnsi="Calibri" w:eastAsia="Microsoft YaHei"/>
          </w:rPr>
          <w:t>Lou, Luo &amp; Meng (2025), GeoConformal Prediction</w:t>
        </w:r>
      </w:hyperlink>
    </w:p>
    <w:p>
      <w:pPr>
        <w:spacing w:after="140"/>
        <w:ind w:left="288"/>
      </w:pPr>
      <w:r>
        <w:rPr>
          <w:rFonts w:ascii="Calibri" w:hAnsi="Calibri" w:eastAsia="Microsoft YaHei"/>
          <w:color w:val="5B6573"/>
          <w:sz w:val="18"/>
        </w:rPr>
        <w:t>地理距离加权的模型无关空间预测不确定性；本项目借鉴其局部化思想。</w:t>
      </w:r>
    </w:p>
    <w:p>
      <w:pPr>
        <w:spacing w:after="40"/>
      </w:pPr>
      <w:hyperlink r:id="rId14">
        <w:r>
          <w:rPr>
            <w:color w:val="2E75B6"/>
            <w:u w:val="single"/>
            <w:rFonts w:ascii="Calibri" w:hAnsi="Calibri" w:eastAsia="Microsoft YaHei"/>
          </w:rPr>
          <w:t>Tibshirani et al. (2019), Conformal Prediction Under Covariate Shift</w:t>
        </w:r>
      </w:hyperlink>
    </w:p>
    <w:p>
      <w:pPr>
        <w:spacing w:after="140"/>
        <w:ind w:left="288"/>
      </w:pPr>
      <w:r>
        <w:rPr>
          <w:rFonts w:ascii="Calibri" w:hAnsi="Calibri" w:eastAsia="Microsoft YaHei"/>
          <w:color w:val="5B6573"/>
          <w:sz w:val="18"/>
        </w:rPr>
        <w:t>说明加权 conformal 的有效性依赖加权可交换性/密度比条件。</w:t>
      </w:r>
    </w:p>
    <w:p>
      <w:pPr>
        <w:spacing w:after="40"/>
      </w:pPr>
      <w:hyperlink r:id="rId15">
        <w:r>
          <w:rPr>
            <w:color w:val="2E75B6"/>
            <w:u w:val="single"/>
            <w:rFonts w:ascii="Calibri" w:hAnsi="Calibri" w:eastAsia="Microsoft YaHei"/>
          </w:rPr>
          <w:t>Guan (2023), Localized Conformal Prediction</w:t>
        </w:r>
      </w:hyperlink>
    </w:p>
    <w:p>
      <w:pPr>
        <w:spacing w:after="140"/>
        <w:ind w:left="288"/>
      </w:pPr>
      <w:r>
        <w:rPr>
          <w:rFonts w:ascii="Calibri" w:hAnsi="Calibri" w:eastAsia="Microsoft YaHei"/>
          <w:color w:val="5B6573"/>
          <w:sz w:val="18"/>
        </w:rPr>
        <w:t>局部 conformal 需要专门构造，支持将空间局部方法与普通 split CP 分层。</w:t>
      </w:r>
    </w:p>
    <w:p>
      <w:pPr>
        <w:spacing w:after="40"/>
      </w:pPr>
      <w:hyperlink r:id="rId16">
        <w:r>
          <w:rPr>
            <w:color w:val="2E75B6"/>
            <w:u w:val="single"/>
            <w:rFonts w:ascii="Calibri" w:hAnsi="Calibri" w:eastAsia="Microsoft YaHei"/>
          </w:rPr>
          <w:t>Angelopoulos et al. (2024), Conformal Risk Control</w:t>
        </w:r>
      </w:hyperlink>
    </w:p>
    <w:p>
      <w:pPr>
        <w:spacing w:after="140"/>
        <w:ind w:left="288"/>
      </w:pPr>
      <w:r>
        <w:rPr>
          <w:rFonts w:ascii="Calibri" w:hAnsi="Calibri" w:eastAsia="Microsoft YaHei"/>
          <w:color w:val="5B6573"/>
          <w:sz w:val="18"/>
        </w:rPr>
        <w:t>将 conformal 从预测集合覆盖推广到单调损失的期望风险控制，适合多标签与分割。</w:t>
      </w:r>
    </w:p>
    <w:p>
      <w:pPr>
        <w:pStyle w:val="Heading2"/>
      </w:pPr>
      <w:r>
        <w:t>汇报使用建议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1F2933"/>
          <w:sz w:val="19"/>
        </w:rPr>
        <w:t>建议用 12–15 分钟讲完：第 1–5 节约 6 分钟，Conformal/GeoConformal 约 4 分钟，AlphaEarth 与下一步约 4 分钟。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1F2933"/>
          <w:sz w:val="19"/>
        </w:rPr>
        <w:t>如果导师追问“为什么数值没有明显变大”，回到第 5 节：新版本的目标是更可信，不是制造更戏剧性的差距。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1F2933"/>
          <w:sz w:val="19"/>
        </w:rPr>
        <w:t>如果导师追问“GeoConformal 是否已经完整实现”，回答：正式 split CP/CRC 已覆盖四类任务；地理核版本作为经验 comparator，优先在 AlphaEarth 运行并受支持门控。</w:t>
      </w:r>
    </w:p>
    <w:p>
      <w:pPr>
        <w:pStyle w:val="ListBullet"/>
        <w:spacing w:after="60"/>
      </w:pPr>
      <w:r>
        <w:rPr>
          <w:rFonts w:ascii="Calibri" w:hAnsi="Calibri" w:eastAsia="Microsoft YaHei"/>
          <w:color w:val="1F2933"/>
          <w:sz w:val="19"/>
        </w:rPr>
        <w:t>这份文档正文已经包含必要讲解，不建议再准备逐字讲稿；汇报时围绕每页绿色/橙色提示框展开即可。</w:t>
      </w:r>
    </w:p>
    <w:p>
      <w:pPr>
        <w:spacing w:before="60" w:after="160" w:line="252" w:lineRule="auto"/>
        <w:ind w:left="173" w:right="115"/>
        <w:shd w:fill="F2F4F7"/>
        <w:pBdr>
          <w:left w:val="single" w:sz="18" w:space="6" w:color="5B6573"/>
        </w:pBdr>
      </w:pPr>
      <w:r>
        <w:rPr>
          <w:rFonts w:ascii="Calibri" w:hAnsi="Calibri" w:eastAsia="Microsoft YaHei"/>
          <w:b/>
          <w:color w:val="5B6573"/>
          <w:sz w:val="21"/>
        </w:rPr>
        <w:t xml:space="preserve">最终边界  </w:t>
      </w:r>
      <w:r>
        <w:rPr>
          <w:rFonts w:ascii="Calibri" w:hAnsi="Calibri" w:eastAsia="Microsoft YaHei"/>
          <w:color w:val="1F2933"/>
          <w:sz w:val="20"/>
        </w:rPr>
        <w:t>GeoBWER 衡量的是预注册部署切片之间的尾部风险不均，不声称穷尽公平性的全部社会含义；但它能够成为 GeoFM 发布与应用时一套清晰、模型无关、可复核的公平性可靠性审计工具。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36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color w:val="5B6573"/>
        <w:sz w:val="16"/>
      </w:rPr>
      <w:t xml:space="preserve">RSFM / GeoFM Deployment-Slice Reliability   |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B6573"/>
        <w:sz w:val="16"/>
      </w:rPr>
      <w:t>GeoBWER 项目阶段性升级汇报  ·  导师版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47D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i.org/10.1080/24694452.2025.2516091" TargetMode="External"/><Relationship Id="rId14" Type="http://schemas.openxmlformats.org/officeDocument/2006/relationships/hyperlink" Target="https://proceedings.neurips.cc/paper/2019/hash/8fb21ee7a2207526da55a679f0332de2-Abstract.html" TargetMode="External"/><Relationship Id="rId15" Type="http://schemas.openxmlformats.org/officeDocument/2006/relationships/hyperlink" Target="https://doi.org/10.1093/biomet/asac040" TargetMode="External"/><Relationship Id="rId16" Type="http://schemas.openxmlformats.org/officeDocument/2006/relationships/hyperlink" Target="https://proceedings.iclr.cc/paper_files/paper/2024/hash/f3549ef9b5ff520a7e41ff3cc306ab2b-Abstract-Conferenc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GeoBWER项目阶段性升级汇报</dc:title>
  <dc:subject>BWER1到GeoBWER、AlphaEarth与Conformal扩展</dc:subject>
  <dc:creator>RSFM Fairness Audit Project</dc:creator>
  <cp:keywords>GeoBWER, GeoFM, RSFM, fairness, conformal prediction, AlphaEarth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