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Inter" w:cs="Inter" w:eastAsia="Inter" w:hAnsi="Inter"/>
          <w:b/>
          <w:bCs/>
          <w:color w:val="44E88A"/>
          <w:spacing w:val="40"/>
          <w:sz w:val="18"/>
          <w:szCs w:val="18"/>
        </w:rPr>
        <w:t xml:space="preserve">STRATEGIC REPORT · 2026</w:t>
      </w:r>
    </w:p>
    <w:p>
      <w:pPr>
        <w:spacing w:after="120" w:before="120"/>
      </w:pPr>
      <w:r>
        <w:rPr>
          <w:rFonts w:ascii="Syne" w:cs="Syne" w:eastAsia="Syne" w:hAnsi="Syne"/>
          <w:b/>
          <w:bCs/>
          <w:color w:val="0C1410"/>
          <w:sz w:val="72"/>
          <w:szCs w:val="72"/>
        </w:rPr>
        <w:t xml:space="preserve">Signal Through the Noise</w:t>
      </w:r>
    </w:p>
    <w:p>
      <w:pPr>
        <w:pBdr>
          <w:bottom w:val="single" w:color="44E88A" w:sz="12" w:space="8"/>
        </w:pBdr>
        <w:spacing w:after="360" w:before="0"/>
      </w:pPr>
      <w:r>
        <w:rPr>
          <w:rFonts w:ascii="Syne" w:cs="Syne" w:eastAsia="Syne" w:hAnsi="Syne"/>
          <w:color w:val="1F4A2A"/>
          <w:sz w:val="32"/>
          <w:szCs w:val="32"/>
        </w:rPr>
        <w:t xml:space="preserve">Strategic Communications in an AI-Augmented World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/>
          <w:iCs/>
          <w:color w:val="6F786B"/>
          <w:sz w:val="24"/>
          <w:szCs w:val="24"/>
        </w:rPr>
        <w:t xml:space="preserve">An executive briefing on how technology and human judgment converge to move complex conversations forward.</w:t>
      </w:r>
    </w:p>
    <w:p>
      <w:pPr>
        <w:spacing w:after="0" w:before="720"/>
      </w:pPr>
      <w:r>
        <w:rPr>
          <w:rFonts w:ascii="JetBrains Mono" w:cs="JetBrains Mono" w:eastAsia="JetBrains Mono" w:hAnsi="JetBrains Mono"/>
          <w:color w:val="929C8E"/>
          <w:spacing w:val="30"/>
          <w:sz w:val="14"/>
          <w:szCs w:val="14"/>
        </w:rPr>
        <w:t xml:space="preserve">PREPARED BY</w:t>
      </w:r>
    </w:p>
    <w:p>
      <w:r>
        <w:rPr>
          <w:rFonts w:ascii="Syne" w:cs="Syne" w:eastAsia="Syne" w:hAnsi="Syne"/>
          <w:b/>
          <w:bCs/>
          <w:color w:val="0C1410"/>
          <w:sz w:val="24"/>
          <w:szCs w:val="24"/>
        </w:rPr>
        <w:t xml:space="preserve">AI4comms</w:t>
      </w:r>
    </w:p>
    <w:p>
      <w:pPr>
        <w:spacing w:after="0" w:before="240"/>
      </w:pPr>
      <w:r>
        <w:rPr>
          <w:rFonts w:ascii="JetBrains Mono" w:cs="JetBrains Mono" w:eastAsia="JetBrains Mono" w:hAnsi="JetBrains Mono"/>
          <w:color w:val="929C8E"/>
          <w:spacing w:val="30"/>
          <w:sz w:val="14"/>
          <w:szCs w:val="14"/>
        </w:rPr>
        <w:t xml:space="preserve">DATE</w:t>
      </w:r>
    </w:p>
    <w:p>
      <w:r>
        <w:rPr>
          <w:rFonts w:ascii="Inter" w:cs="Inter" w:eastAsia="Inter" w:hAnsi="Inter"/>
          <w:color w:val="3A4238"/>
          <w:sz w:val="22"/>
          <w:szCs w:val="22"/>
        </w:rPr>
        <w:t xml:space="preserve">April 2026</w:t>
      </w:r>
    </w:p>
    <w:p>
      <w:pPr>
        <w:spacing w:after="0" w:before="240"/>
      </w:pPr>
      <w:r>
        <w:rPr>
          <w:rFonts w:ascii="JetBrains Mono" w:cs="JetBrains Mono" w:eastAsia="JetBrains Mono" w:hAnsi="JetBrains Mono"/>
          <w:color w:val="929C8E"/>
          <w:spacing w:val="30"/>
          <w:sz w:val="14"/>
          <w:szCs w:val="14"/>
        </w:rPr>
        <w:t xml:space="preserve">CLASSIFICATION</w:t>
      </w:r>
    </w:p>
    <w:p>
      <w:r>
        <w:rPr>
          <w:rFonts w:ascii="Inter" w:cs="Inter" w:eastAsia="Inter" w:hAnsi="Inter"/>
          <w:color w:val="3A4238"/>
          <w:sz w:val="22"/>
          <w:szCs w:val="22"/>
        </w:rPr>
        <w:t xml:space="preserve">Confidential · Internal Use</w:t>
      </w:r>
    </w:p>
    <w:p>
      <w:pPr>
        <w:spacing w:after="0" w:before="960"/>
      </w:pPr>
      <w:r>
        <w:rPr>
          <w:rFonts w:ascii="JetBrains Mono" w:cs="JetBrains Mono" w:eastAsia="JetBrains Mono" w:hAnsi="JetBrains Mono"/>
          <w:b/>
          <w:bCs/>
          <w:color w:val="1F4A2A"/>
          <w:sz w:val="18"/>
          <w:szCs w:val="18"/>
        </w:rPr>
        <w:t xml:space="preserve">ai4comms.com</w:t>
      </w:r>
      <w:r>
        <w:rPr>
          <w:rFonts w:ascii="Inter" w:cs="Inter" w:eastAsia="Inter" w:hAnsi="Inter"/>
          <w:color w:val="929C8E"/>
          <w:sz w:val="18"/>
          <w:szCs w:val="18"/>
        </w:rPr>
        <w:t xml:space="preserve">   ·   </w:t>
      </w:r>
      <w:r>
        <w:rPr>
          <w:rFonts w:ascii="JetBrains Mono" w:cs="JetBrains Mono" w:eastAsia="JetBrains Mono" w:hAnsi="JetBrains Mono"/>
          <w:color w:val="929C8E"/>
          <w:sz w:val="18"/>
          <w:szCs w:val="18"/>
        </w:rPr>
        <w:t xml:space="preserve">hello@ai4comms.com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Inter" w:cs="Inter" w:eastAsia="Inter" w:hAnsi="Inter"/>
          <w:b/>
          <w:bCs/>
          <w:color w:val="44E88A"/>
          <w:spacing w:val="40"/>
          <w:sz w:val="18"/>
          <w:szCs w:val="18"/>
        </w:rPr>
        <w:t xml:space="preserve">CONTENTS</w:t>
      </w:r>
    </w:p>
    <w:p>
      <w:pPr>
        <w:spacing w:after="360" w:before="120"/>
      </w:pPr>
      <w:r>
        <w:rPr>
          <w:rFonts w:ascii="Syne" w:cs="Syne" w:eastAsia="Syne" w:hAnsi="Syne"/>
          <w:b/>
          <w:bCs/>
          <w:color w:val="0C1410"/>
          <w:sz w:val="40"/>
          <w:szCs w:val="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44E88A" w:sz="12" w:space="8"/>
        </w:pBdr>
        <w:spacing w:after="240" w:before="480"/>
      </w:pPr>
      <w:r>
        <w:rPr>
          <w:rFonts w:ascii="Syne" w:cs="Syne" w:eastAsia="Syne" w:hAnsi="Syne"/>
          <w:b/>
          <w:bCs/>
          <w:color w:val="0C1410"/>
          <w:sz w:val="40"/>
          <w:szCs w:val="40"/>
        </w:rPr>
        <w:t xml:space="preserve">1. Executive Summary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Strategic communications is entering a new epoch. The tools of production — copy, design, distribution — have become commodities. What remains scarce is judgment: the ability to see the signal through the noise, to know what matters and why.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This report outlines three shifts that will define the next decade of communications, and the frameworks organizations need to navigate them with conviction.</w:t>
      </w:r>
    </w:p>
    <w:tbl>
      <w:tblPr>
        <w:tblW w:type="pct" w:w="100%"/>
        <w:tblBorders>
          <w:top w:val="single" w:color="44E88A" w:sz="4"/>
          <w:left w:val="none" w:color="FFFFFF" w:sz="0"/>
          <w:bottom w:val="single" w:color="44E88A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Syne" w:cs="Syne" w:eastAsia="Syne" w:hAnsi="Syne"/>
                <w:i/>
                <w:iCs/>
                <w:color w:val="1F4A2A"/>
                <w:sz w:val="32"/>
                <w:szCs w:val="32"/>
              </w:rPr>
              <w:t xml:space="preserve">"The scarcest resource in communications is no longer attention. It is judgment."</w:t>
            </w:r>
          </w:p>
        </w:tc>
      </w:tr>
    </w:tbl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Automation is collapsing the cost of execution — message production is now near-zero marginal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Trust is fragmenting along audience fault lines — one narrative rarely works for all stakeholders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Measurement models lag behind reality — traditional impressions and reach metrics miss what actually moves decisions</w:t>
      </w:r>
    </w:p>
    <w:tbl>
      <w:tblPr>
        <w:tblW w:type="pct" w:w="100%"/>
        <w:tblBorders>
          <w:top w:val="none" w:color="FFFFFF" w:sz="0"/>
          <w:left w:val="single" w:color="1F4A2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0E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1F4A2A"/>
                <w:spacing w:val="30"/>
                <w:sz w:val="16"/>
                <w:szCs w:val="16"/>
              </w:rPr>
              <w:t xml:space="preserve">INFO</w:t>
            </w:r>
          </w:p>
          <w:p>
            <w:r>
              <w:rPr>
                <w:rFonts w:ascii="Inter" w:cs="Inter" w:eastAsia="Inter" w:hAnsi="Inter"/>
                <w:color w:val="3A4238"/>
                <w:sz w:val="22"/>
                <w:szCs w:val="22"/>
              </w:rPr>
              <w:t xml:space="preserve">Organizations that invest in judgment infrastructure — the systems and people who translate information into decisions — will outperform those who invest only in production capacity.</w:t>
            </w:r>
          </w:p>
        </w:tc>
      </w:tr>
    </w:tbl>
    <w:p>
      <w:pPr>
        <w:pStyle w:val="Heading1"/>
        <w:pageBreakBefore/>
        <w:pBdr>
          <w:bottom w:val="single" w:color="44E88A" w:sz="12" w:space="8"/>
        </w:pBdr>
        <w:spacing w:after="240" w:before="480"/>
      </w:pPr>
      <w:r>
        <w:rPr>
          <w:rFonts w:ascii="Syne" w:cs="Syne" w:eastAsia="Syne" w:hAnsi="Syne"/>
          <w:b/>
          <w:bCs/>
          <w:color w:val="0C1410"/>
          <w:sz w:val="40"/>
          <w:szCs w:val="40"/>
        </w:rPr>
        <w:t xml:space="preserve">2. The Three Shifts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Three structural changes are reshaping strategic communications. Each demands a new operating model.</w:t>
      </w:r>
    </w:p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2.1 From production to curation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When anyone can generate anything, the premium moves to selection. The communications function becomes a curator — deciding what to amplify, what to let go, and what to reframe.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0C1410"/>
          <w:sz w:val="24"/>
          <w:szCs w:val="24"/>
        </w:rPr>
        <w:t xml:space="preserve">Operating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Editorial judgment becomes the core capability, not production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Review gates shift from grammar and tone to strategic fit and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Measurement shifts from output volume to decision-relevance</w:t>
      </w:r>
    </w:p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2.2 From broadcast to stakeholder dialogue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Mass communications still has a role, but most consequential conversations happen in narrow stakeholder channels. Regulators, investors, employees, and customers each require their own narrative architecture.</w:t>
      </w:r>
    </w:p>
    <w:tbl>
      <w:tblPr>
        <w:tblW w:type="pct" w:w="100%"/>
        <w:tblBorders>
          <w:top w:val="none" w:color="FFFFFF" w:sz="0"/>
          <w:left w:val="single" w:color="44E88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8FAEE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44E88A"/>
                <w:spacing w:val="30"/>
                <w:sz w:val="16"/>
                <w:szCs w:val="16"/>
              </w:rPr>
              <w:t xml:space="preserve">SUCCESS</w:t>
            </w:r>
          </w:p>
          <w:p>
            <w:r>
              <w:rPr>
                <w:rFonts w:ascii="Inter" w:cs="Inter" w:eastAsia="Inter" w:hAnsi="Inter"/>
                <w:color w:val="3A4238"/>
                <w:sz w:val="22"/>
                <w:szCs w:val="22"/>
              </w:rPr>
              <w:t xml:space="preserve">Build a stakeholder map before you build a message map. The audiences determine the architecture, not the other way around.</w:t>
            </w:r>
          </w:p>
        </w:tc>
      </w:tr>
    </w:tbl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2.3 From message to memory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What people remember in six months is what matters. Communications that optimize for first-read clarity at the expense of durable impressions leave no trace. The best programs design for recall, not just reception.</w:t>
      </w:r>
    </w:p>
    <w:p>
      <w:pPr>
        <w:pStyle w:val="Heading1"/>
        <w:pageBreakBefore/>
        <w:pBdr>
          <w:bottom w:val="single" w:color="44E88A" w:sz="12" w:space="8"/>
        </w:pBdr>
        <w:spacing w:after="240" w:before="480"/>
      </w:pPr>
      <w:r>
        <w:rPr>
          <w:rFonts w:ascii="Syne" w:cs="Syne" w:eastAsia="Syne" w:hAnsi="Syne"/>
          <w:b/>
          <w:bCs/>
          <w:color w:val="0C1410"/>
          <w:sz w:val="40"/>
          <w:szCs w:val="40"/>
        </w:rPr>
        <w:t xml:space="preserve">3. The AI4comms Framework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Our framework integrates three disciplines — strategy, content, and measurement — into a single operating system for modern communications.</w:t>
      </w:r>
    </w:p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3.1 Discipline comparison</w:t>
      </w:r>
    </w:p>
    <w:tbl>
      <w:tblPr>
        <w:tblW w:type="pct" w:w="100%"/>
        <w:tblBorders>
          <w:top w:val="single" w:color="E9ECE4" w:sz="4"/>
          <w:left w:val="none" w:color="FFFFFF" w:sz="0"/>
          <w:bottom w:val="single" w:color="E9ECE4" w:sz="4"/>
          <w:right w:val="none" w:color="FFFFFF" w:sz="0"/>
          <w:insideH w:val="single" w:color="E9ECE4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A2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shd w:fill="1F4A2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Old Model</w:t>
            </w:r>
          </w:p>
        </w:tc>
        <w:tc>
          <w:tcPr>
            <w:shd w:fill="1F4A2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New Model</w:t>
            </w:r>
          </w:p>
        </w:tc>
        <w:tc>
          <w:tcPr>
            <w:shd w:fill="1F4A2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</w:tr>
      <w:tr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Strategy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Annual plan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Continuous stance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Directional clarity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Content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Campaign production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Reusable modules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Reuse ratio</w:t>
            </w:r>
          </w:p>
        </w:tc>
      </w:tr>
      <w:tr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Measurement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Impressions / reach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Decision velocity</w:t>
            </w:r>
          </w:p>
        </w:tc>
        <w:tc>
          <w:tcPr>
            <w:shd w:fill="F4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Time-to-conviction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Governance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Approval gates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Living playbooks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A4238"/>
                <w:sz w:val="20"/>
                <w:szCs w:val="20"/>
              </w:rPr>
              <w:t xml:space="preserve">Policy compliance</w:t>
            </w:r>
          </w:p>
        </w:tc>
      </w:tr>
    </w:tbl>
    <w:p>
      <w:pPr>
        <w:pStyle w:val="Heading2"/>
        <w:spacing w:after="180" w:before="360"/>
      </w:pPr>
      <w:r>
        <w:rPr>
          <w:rFonts w:ascii="Syne" w:cs="Syne" w:eastAsia="Syne" w:hAnsi="Syne"/>
          <w:b/>
          <w:bCs/>
          <w:color w:val="1F4A2A"/>
          <w:sz w:val="28"/>
          <w:szCs w:val="28"/>
        </w:rPr>
        <w:t xml:space="preserve">3.2 Implementation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Phase 1 — Diagnostic: map stakeholder architecture, audit current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Phase 2 — Design: build message modules and measurement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Phase 3 — Deploy: pilot with priority audiences, iterate weekly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A4238"/>
          <w:sz w:val="22"/>
          <w:szCs w:val="22"/>
        </w:rPr>
        <w:t xml:space="preserve">Phase 4 — Scale: extend to full stakeholder map, codify in playbook</w:t>
      </w:r>
    </w:p>
    <w:tbl>
      <w:tblPr>
        <w:tblW w:type="pct" w:w="100%"/>
        <w:tblBorders>
          <w:top w:val="none" w:color="FFFFFF" w:sz="0"/>
          <w:left w:val="single" w:color="C08A2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3E4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JetBrains Mono" w:cs="JetBrains Mono" w:eastAsia="JetBrains Mono" w:hAnsi="JetBrains Mono"/>
                <w:b/>
                <w:bCs/>
                <w:color w:val="C08A2E"/>
                <w:spacing w:val="30"/>
                <w:sz w:val="16"/>
                <w:szCs w:val="16"/>
              </w:rPr>
              <w:t xml:space="preserve">NOTE</w:t>
            </w:r>
          </w:p>
          <w:p>
            <w:r>
              <w:rPr>
                <w:rFonts w:ascii="Inter" w:cs="Inter" w:eastAsia="Inter" w:hAnsi="Inter"/>
                <w:color w:val="3A4238"/>
                <w:sz w:val="22"/>
                <w:szCs w:val="22"/>
              </w:rPr>
              <w:t xml:space="preserve">Typical engagement: 12 weeks to first measurable shift in stakeholder conviction. Six months to embedded operating model.</w:t>
            </w:r>
          </w:p>
        </w:tc>
      </w:tr>
    </w:tbl>
    <w:p>
      <w:pPr>
        <w:pStyle w:val="Heading1"/>
        <w:pageBreakBefore/>
        <w:pBdr>
          <w:bottom w:val="single" w:color="44E88A" w:sz="12" w:space="8"/>
        </w:pBdr>
        <w:spacing w:after="240" w:before="480"/>
      </w:pPr>
      <w:r>
        <w:rPr>
          <w:rFonts w:ascii="Syne" w:cs="Syne" w:eastAsia="Syne" w:hAnsi="Syne"/>
          <w:b/>
          <w:bCs/>
          <w:color w:val="0C1410"/>
          <w:sz w:val="40"/>
          <w:szCs w:val="40"/>
        </w:rPr>
        <w:t xml:space="preserve">4. Next Steps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For organizations ready to move from broadcast communications to strategic signal, we recommend a focused diagnostic as the entry point.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0C1410"/>
          <w:sz w:val="24"/>
          <w:szCs w:val="24"/>
        </w:rPr>
        <w:t xml:space="preserve">Contact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Email: hello@ai4comms.com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Web: ai4comms.com</w:t>
      </w:r>
    </w:p>
    <w:p>
      <w:pPr>
        <w:spacing w:after="120" w:before="120" w:line="320"/>
        <w:jc w:val="left"/>
      </w:pPr>
      <w:r>
        <w:rPr>
          <w:rFonts w:ascii="Inter" w:cs="Inter" w:eastAsia="Inter" w:hAnsi="Inter"/>
          <w:i w:val="false"/>
          <w:iCs w:val="false"/>
          <w:color w:val="3A4238"/>
          <w:sz w:val="22"/>
          <w:szCs w:val="22"/>
        </w:rPr>
        <w:t xml:space="preserve">We respond within one business day.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E88A" w:sz="12" w:space="4"/>
      </w:pBdr>
      <w:tabs>
        <w:tab w:val="right" w:pos="9026"/>
      </w:tabs>
    </w:pPr>
    <w:r>
      <w:rPr>
        <w:rFonts w:ascii="JetBrains Mono" w:cs="JetBrains Mono" w:eastAsia="JetBrains Mono" w:hAnsi="JetBrains Mono"/>
        <w:color w:val="929C8E"/>
        <w:spacing w:val="30"/>
        <w:sz w:val="14"/>
        <w:szCs w:val="14"/>
      </w:rPr>
      <w:t xml:space="preserve">CONFIDENTIAL</w:t>
    </w:r>
    <w:r>
      <w:rPr>
        <w:rFonts w:ascii="Inter" w:cs="Inter" w:eastAsia="Inter" w:hAnsi="Inter"/>
        <w:sz w:val="14"/>
        <w:szCs w:val="14"/>
      </w:rPr>
      <w:t xml:space="preserve">	</w:t>
    </w:r>
    <w:r>
      <w:rPr>
        <w:rFonts w:ascii="Inter" w:cs="Inter" w:eastAsia="Inter" w:hAnsi="Inter"/>
        <w:color w:val="929C8E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b/>
        <w:bCs/>
        <w:color w:val="1F4A2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929C8E"/>
        <w:sz w:val="14"/>
        <w:szCs w:val="14"/>
      </w:rPr>
      <w:t xml:space="preserve"> / </w:t>
    </w:r>
    <w:r>
      <w:rPr>
        <w:rFonts w:ascii="JetBrains Mono" w:cs="JetBrains Mono" w:eastAsia="JetBrains Mono" w:hAnsi="JetBrains Mono"/>
        <w:color w:val="929C8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ECE4" w:sz="4" w:space="4"/>
      </w:pBdr>
      <w:tabs>
        <w:tab w:val="right" w:pos="9026"/>
      </w:tabs>
    </w:pPr>
    <w:r>
      <w:rPr>
        <w:rFonts w:ascii="Syne" w:cs="Syne" w:eastAsia="Syne" w:hAnsi="Syne"/>
        <w:b/>
        <w:bCs/>
        <w:color w:val="1F4A2A"/>
        <w:sz w:val="18"/>
        <w:szCs w:val="18"/>
      </w:rPr>
      <w:t xml:space="preserve">AI4comms</w:t>
    </w:r>
    <w:r>
      <w:rPr>
        <w:rFonts w:ascii="Inter" w:cs="Inter" w:eastAsia="Inter" w:hAnsi="Inter"/>
        <w:color w:val="929C8E"/>
        <w:sz w:val="16"/>
        <w:szCs w:val="16"/>
      </w:rPr>
      <w:t xml:space="preserve">  |  </w:t>
    </w:r>
    <w:r>
      <w:rPr>
        <w:rFonts w:ascii="Inter" w:cs="Inter" w:eastAsia="Inter" w:hAnsi="Inter"/>
        <w:color w:val="929C8E"/>
        <w:sz w:val="16"/>
        <w:szCs w:val="16"/>
      </w:rPr>
      <w:t xml:space="preserve">Strategic Report</w:t>
    </w:r>
    <w:r>
      <w:rPr>
        <w:rFonts w:ascii="Inter" w:cs="Inter" w:eastAsia="Inter" w:hAnsi="Inter"/>
        <w:sz w:val="16"/>
        <w:szCs w:val="16"/>
      </w:rPr>
      <w:t xml:space="preserve">	</w:t>
    </w:r>
    <w:r>
      <w:rPr>
        <w:rFonts w:ascii="JetBrains Mono" w:cs="JetBrains Mono" w:eastAsia="JetBrains Mono" w:hAnsi="JetBrains Mono"/>
        <w:color w:val="929C8E"/>
        <w:sz w:val="14"/>
        <w:szCs w:val="14"/>
      </w:rPr>
      <w:t xml:space="preserve">ai4comms.com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Inter" w:cs="Inter" w:eastAsia="Inter" w:hAnsi="Inter"/>
        <w:color w:val="44E88A"/>
      </w:r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A4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yne" w:cs="Syne" w:eastAsia="Syne" w:hAnsi="Syne"/>
      <w:b/>
      <w:bCs/>
      <w:color w:val="0C141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yne" w:cs="Syne" w:eastAsia="Syne" w:hAnsi="Syne"/>
      <w:b/>
      <w:bCs/>
      <w:color w:val="1F4A2A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Inter" w:cs="Inter" w:eastAsia="Inter" w:hAnsi="Inter"/>
      <w:b/>
      <w:bCs/>
      <w:color w:val="0C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eccd801fa5733dc171e9dc2b8439f273d5797f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2026-04-05T12:48:06.584Z</dcterms:created>
  <dcterms:modified xsi:type="dcterms:W3CDTF">2026-04-05T12:48:06.585Z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