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Amaris Consulting</w:t>
      </w:r>
    </w:p>
    <w:p>
      <w:pPr>
        <w:pStyle w:val="Caption"/>
      </w:pPr>
      <w:r>
        <w:t>Make it happen, together.</w:t>
      </w:r>
    </w:p>
    <w:p>
      <w:pPr>
        <w:pStyle w:val="Heading1"/>
      </w:pPr>
      <w:r>
        <w:t>Heading 1 — Section</w:t>
      </w:r>
    </w:p>
    <w:p>
      <w:pPr>
        <w:pStyle w:val="Heading2"/>
      </w:pPr>
      <w:r>
        <w:t>Heading 2 — Subsection</w:t>
      </w:r>
    </w:p>
    <w:p>
      <w:pPr>
        <w:pStyle w:val="Heading3"/>
      </w:pPr>
      <w:r>
        <w:t>Heading 3 — Detail</w:t>
      </w:r>
    </w:p>
    <w:p>
      <w:r>
        <w:t>Body text uses General Sans (the embeddable digital substitute for Century Gothic), 11pt, in Amaris ink #494951. This document is a style reference — its styles are reused by the docx skill via the Pandoc reference.docx pattern.</w:t>
      </w:r>
    </w:p>
    <w:p>
      <w:pPr>
        <w:pStyle w:val="Caption"/>
      </w:pPr>
      <w:r>
        <w:t>Caption / footnote style — smaller, lighter, italic.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neral Sans" w:hAnsi="General Sans"/>
        <w:color w:val="6C757D"/>
        <w:sz w:val="16"/>
      </w:rPr>
      <w:t>Amaris Consulting Sàrl  ·  Confidential — Not for distribution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neral Sans" w:hAnsi="General Sans"/>
      <w:color w:val="4949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neral Sans" w:hAnsi="General Sans"/>
      <w:b/>
      <w:bCs/>
      <w:i w:val="0"/>
      <w:color w:val="27277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neral Sans" w:hAnsi="General Sans"/>
      <w:b/>
      <w:bCs/>
      <w:i w:val="0"/>
      <w:color w:val="27277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neral Sans" w:hAnsi="General Sans"/>
      <w:b/>
      <w:bCs/>
      <w:i w:val="0"/>
      <w:color w:val="27277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neral Sans" w:hAnsi="General Sans"/>
      <w:b/>
      <w:i w:val="0"/>
      <w:color w:val="27277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General Sans" w:hAnsi="General Sans"/>
      <w:b w:val="0"/>
      <w:bCs/>
      <w:i/>
      <w:color w:val="6C75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