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22222" w:color="222222" w:val="solid"/>
        <w:spacing w:before="2160"/>
        <w:jc w:val="center"/>
      </w:pPr>
    </w:p>
    <w:p>
      <w:pPr>
        <w:shd w:fill="FF7F66" w:color="FF7F66" w:val="solid"/>
        <w:spacing w:before="0" w:after="0"/>
        <w:jc w:val="center"/>
      </w:pPr>
      <w:r>
        <w:rPr>
          <w:sz w:val="12"/>
          <w:szCs w:val="12"/>
        </w:rPr>
        <w:t xml:space="preserve"> </w:t>
      </w:r>
    </w:p>
    <w:p>
      <w:pPr>
        <w:shd w:fill="222222" w:color="222222" w:val="solid"/>
        <w:spacing w:before="863"/>
        <w:jc w:val="center"/>
      </w:pPr>
    </w:p>
    <w:p>
      <w:pPr>
        <w:shd w:fill="222222" w:color="222222" w:val="solid"/>
        <w:jc w:val="center"/>
      </w:pPr>
      <w:r>
        <w:drawing>
          <wp:inline distT="0" distB="0" distL="0" distR="0">
            <wp:extent cx="952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200150"/>
                    </a:xfrm>
                    <a:prstGeom prst="rect">
                      <a:avLst/>
                    </a:prstGeom>
                  </pic:spPr>
                </pic:pic>
              </a:graphicData>
            </a:graphic>
          </wp:inline>
        </w:drawing>
      </w:r>
    </w:p>
    <w:p>
      <w:pPr>
        <w:shd w:fill="222222" w:color="222222" w:val="solid"/>
        <w:spacing w:before="720"/>
        <w:jc w:val="center"/>
      </w:pPr>
    </w:p>
    <w:p>
      <w:pPr>
        <w:shd w:fill="222222" w:color="222222" w:val="solid"/>
        <w:jc w:val="center"/>
      </w:pPr>
      <w:r>
        <w:rPr>
          <w:rFonts w:ascii="Montserrat" w:cs="Montserrat" w:eastAsia="Montserrat" w:hAnsi="Montserrat"/>
          <w:b/>
          <w:bCs/>
          <w:color w:val="FFFFFF"/>
          <w:sz w:val="64"/>
          <w:szCs w:val="64"/>
        </w:rPr>
        <w:t xml:space="preserve">[REPORT TITLE]</w:t>
      </w:r>
    </w:p>
    <w:p>
      <w:pPr>
        <w:shd w:fill="222222" w:color="222222" w:val="solid"/>
        <w:spacing w:before="120"/>
        <w:jc w:val="center"/>
      </w:pPr>
      <w:r>
        <w:rPr>
          <w:rFonts w:ascii="Montserrat" w:cs="Montserrat" w:eastAsia="Montserrat" w:hAnsi="Montserrat"/>
          <w:color w:val="DFDFE0"/>
          <w:sz w:val="32"/>
          <w:szCs w:val="32"/>
        </w:rPr>
        <w:t xml:space="preserve">[Subtitle or description]</w:t>
      </w:r>
    </w:p>
    <w:p>
      <w:pPr>
        <w:shd w:fill="222222" w:color="222222" w:val="solid"/>
        <w:spacing w:before="240"/>
        <w:jc w:val="center"/>
      </w:pPr>
      <w:r>
        <w:rPr>
          <w:rFonts w:ascii="Montserrat" w:cs="Montserrat" w:eastAsia="Montserrat" w:hAnsi="Montserrat"/>
          <w:color w:val="DFDFE0"/>
          <w:sz w:val="24"/>
          <w:szCs w:val="24"/>
        </w:rPr>
        <w:t xml:space="preserve">[Date]</w:t>
      </w:r>
    </w:p>
    <w:p>
      <w:pPr>
        <w:shd w:fill="222222" w:color="222222" w:val="solid"/>
        <w:spacing w:before="1440"/>
      </w:pPr>
    </w:p>
    <w:p>
      <w:pPr>
        <w:shd w:fill="222222" w:color="222222" w:val="solid"/>
        <w:jc w:val="center"/>
      </w:pPr>
      <w:r>
        <w:drawing>
          <wp:inline distT="0" distB="0" distL="0" distR="0">
            <wp:extent cx="58293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1905000"/>
                    </a:xfrm>
                    <a:prstGeom prst="rect">
                      <a:avLst/>
                    </a:prstGeom>
                  </pic:spPr>
                </pic:pic>
              </a:graphicData>
            </a:graphic>
          </wp:inline>
        </w:drawing>
      </w:r>
    </w:p>
    <w:p>
      <w:pPr>
        <w:shd w:fill="222222" w:color="222222" w:val="solid"/>
        <w:spacing w:after="2880"/>
      </w:pPr>
    </w:p>
    <w:p>
      <w:pPr>
        <w:sectPr>
          <w:pgSz w:w="12240" w:h="15840" w:orient="portrait"/>
          <w:pgMar w:top="0" w:right="0" w:bottom="0" w:left="0" w:header="708" w:footer="708" w:gutter="0"/>
          <w:pgNumType/>
          <w:docGrid w:linePitch="360"/>
        </w:sectPr>
      </w:pPr>
    </w:p>
    <w:p>
      <w:pPr>
        <w:pStyle w:val="Heading1"/>
      </w:pPr>
      <w:r>
        <w:t xml:space="preserve">Executive Summary</w:t>
      </w:r>
    </w:p>
    <w:p>
      <w:pPr>
        <w:pStyle w:val="BodyText"/>
      </w:pPr>
      <w:r>
        <w:t xml:space="preserve">This report presents a comprehensive analysis of strategic communications outcomes across the reporting period. Duke Strategies has partnered with key stakeholders to deliver measurable impact through evidence-based counsel, stakeholder engagement, and targeted public affairs programmes.</w:t>
      </w:r>
    </w:p>
    <w:p>
      <w:pPr>
        <w:pStyle w:val="BodyText"/>
      </w:pPr>
      <w:r>
        <w:t xml:space="preserve">The following sections detail our methodology, findings, and recommendations for the next phase of engagement.</w:t>
      </w:r>
    </w:p>
    <w:p>
      <w:pPr>
        <w:pStyle w:val="Heading2"/>
      </w:pPr>
      <w:r>
        <w:t xml:space="preserve">Key Findings</w:t>
      </w:r>
    </w:p>
    <w:p>
      <w:pPr>
        <w:pStyle w:val="BodyText"/>
      </w:pPr>
      <w:r>
        <w:t xml:space="preserve">Our analysis has identified several critical themes that require attention and present opportunities for strategic advantage.</w:t>
      </w:r>
    </w:p>
    <w:p>
      <w:pPr>
        <w:pStyle w:val="BodyText"/>
        <w:numPr>
          <w:ilvl w:val="0"/>
          <w:numId w:val="2"/>
        </w:numPr>
      </w:pPr>
      <w:r>
        <w:t xml:space="preserve">Stakeholder sentiment improved by 23% across primary audience segments</w:t>
      </w:r>
    </w:p>
    <w:p>
      <w:pPr>
        <w:pStyle w:val="BodyText"/>
        <w:numPr>
          <w:ilvl w:val="0"/>
          <w:numId w:val="2"/>
        </w:numPr>
      </w:pPr>
      <w:r>
        <w:t xml:space="preserve">Media coverage quality score increased from 6.2 to 8.4 (out of 10)</w:t>
      </w:r>
    </w:p>
    <w:p>
      <w:pPr>
        <w:pStyle w:val="BodyText"/>
        <w:numPr>
          <w:ilvl w:val="0"/>
          <w:numId w:val="2"/>
        </w:numPr>
      </w:pPr>
      <w:r>
        <w:t xml:space="preserve">Government relations programme achieved 4 of 5 policy engagement targets</w:t>
      </w:r>
    </w:p>
    <w:p>
      <w:pPr>
        <w:pStyle w:val="BodyText"/>
        <w:numPr>
          <w:ilvl w:val="0"/>
          <w:numId w:val="2"/>
        </w:numPr>
      </w:pPr>
      <w:r>
        <w:t xml:space="preserve">Crisis preparedness rating moved from amber to green status</w:t>
      </w:r>
    </w:p>
    <w:p>
      <w:pPr>
        <w:pStyle w:val="Heading2"/>
      </w:pPr>
      <w:r>
        <w:t xml:space="preserve">Methodology</w:t>
      </w:r>
    </w:p>
    <w:p>
      <w:pPr>
        <w:pStyle w:val="BodyText"/>
      </w:pPr>
      <w:r>
        <w:t xml:space="preserve">Duke Strategies employs a rigorous, evidence-based methodology that combines quantitative media analytics with qualitative stakeholder research. Our approach follows a structured four-phase cycle.</w:t>
      </w:r>
    </w:p>
    <w:p>
      <w:pPr>
        <w:pStyle w:val="BodyText"/>
        <w:numPr>
          <w:ilvl w:val="0"/>
          <w:numId w:val="3"/>
        </w:numPr>
      </w:pPr>
      <w:r>
        <w:t xml:space="preserve">Discovery and landscape analysis — mapping stakeholders, media, and policy environment</w:t>
      </w:r>
    </w:p>
    <w:p>
      <w:pPr>
        <w:pStyle w:val="BodyText"/>
        <w:numPr>
          <w:ilvl w:val="0"/>
          <w:numId w:val="3"/>
        </w:numPr>
      </w:pPr>
      <w:r>
        <w:t xml:space="preserve">Strategy development — crafting positioning, messaging framework, and channel plan</w:t>
      </w:r>
    </w:p>
    <w:p>
      <w:pPr>
        <w:pStyle w:val="BodyText"/>
        <w:numPr>
          <w:ilvl w:val="0"/>
          <w:numId w:val="3"/>
        </w:numPr>
      </w:pPr>
      <w:r>
        <w:t xml:space="preserve">Implementation and execution — deploying campaigns across earned, owned, and shared media</w:t>
      </w:r>
    </w:p>
    <w:p>
      <w:pPr>
        <w:pStyle w:val="BodyText"/>
        <w:numPr>
          <w:ilvl w:val="0"/>
          <w:numId w:val="3"/>
        </w:numPr>
      </w:pPr>
      <w:r>
        <w:t xml:space="preserve">Measurement and optimisation — tracking KPIs, reporting outcomes, refining approach</w:t>
      </w:r>
    </w:p>
    <w:p>
      <w:pPr>
        <w:pStyle w:val="Heading3"/>
      </w:pPr>
      <w:r>
        <w:t xml:space="preserve">Data Sources</w:t>
      </w:r>
    </w:p>
    <w:p>
      <w:pPr>
        <w:pStyle w:val="BodyText"/>
      </w:pPr>
      <w:r>
        <w:t xml:space="preserve">Analysis draws on proprietary monitoring tools, third-party media intelligence platforms, and direct stakeholder interviews conducted during the period.</w:t>
      </w:r>
    </w:p>
    <w:p>
      <w:pPr>
        <w:pStyle w:val="BlockQuote"/>
      </w:pPr>
      <w:r>
        <w:t xml:space="preserve">"Strategic communications is not about controlling the narrative — it is about earning trust through transparency, consistency, and demonstrable value."</w:t>
      </w:r>
    </w:p>
    <w:p>
      <w:pPr>
        <w:pStyle w:val="Caption"/>
        <w:ind w:left="720"/>
      </w:pPr>
      <w:r>
        <w:t xml:space="preserve">— Duke Strategies, Methodology White Paper</w:t>
      </w:r>
    </w:p>
    <w:p>
      <w:pPr>
        <w:pStyle w:val="Heading2"/>
      </w:pPr>
      <w:r>
        <w:t xml:space="preserve">Performance Dashboard</w:t>
      </w:r>
    </w:p>
    <w:p>
      <w:pPr>
        <w:pStyle w:val="BodyText"/>
      </w:pPr>
      <w:r>
        <w:t xml:space="preserve">The table below summarises key performance indicators for the reporting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FF7F66" w:color="FF7F66" w:val="solid"/>
            <w:vAlign w:val="center"/>
          </w:tcPr>
          <w:p>
            <w:pPr>
              <w:spacing w:before="60" w:after="60"/>
              <w:jc w:val="left"/>
            </w:pPr>
            <w:r>
              <w:rPr>
                <w:rFonts w:ascii="Montserrat" w:cs="Montserrat" w:eastAsia="Montserrat" w:hAnsi="Montserrat"/>
                <w:b/>
                <w:bCs/>
                <w:color w:val="FFFFFF"/>
                <w:sz w:val="20"/>
                <w:szCs w:val="20"/>
              </w:rPr>
              <w:t xml:space="preserve">Metric</w:t>
            </w:r>
          </w:p>
        </w:tc>
        <w:tc>
          <w:tcPr>
            <w:shd w:fill="FF7F66" w:color="FF7F66" w:val="solid"/>
            <w:vAlign w:val="center"/>
          </w:tcPr>
          <w:p>
            <w:pPr>
              <w:spacing w:before="60" w:after="60"/>
              <w:jc w:val="left"/>
            </w:pPr>
            <w:r>
              <w:rPr>
                <w:rFonts w:ascii="Montserrat" w:cs="Montserrat" w:eastAsia="Montserrat" w:hAnsi="Montserrat"/>
                <w:b/>
                <w:bCs/>
                <w:color w:val="FFFFFF"/>
                <w:sz w:val="20"/>
                <w:szCs w:val="20"/>
              </w:rPr>
              <w:t xml:space="preserve">Target</w:t>
            </w:r>
          </w:p>
        </w:tc>
        <w:tc>
          <w:tcPr>
            <w:shd w:fill="FF7F66" w:color="FF7F66" w:val="solid"/>
            <w:vAlign w:val="center"/>
          </w:tcPr>
          <w:p>
            <w:pPr>
              <w:spacing w:before="60" w:after="60"/>
              <w:jc w:val="left"/>
            </w:pPr>
            <w:r>
              <w:rPr>
                <w:rFonts w:ascii="Montserrat" w:cs="Montserrat" w:eastAsia="Montserrat" w:hAnsi="Montserrat"/>
                <w:b/>
                <w:bCs/>
                <w:color w:val="FFFFFF"/>
                <w:sz w:val="20"/>
                <w:szCs w:val="20"/>
              </w:rPr>
              <w:t xml:space="preserve">Actual</w:t>
            </w:r>
          </w:p>
        </w:tc>
        <w:tc>
          <w:tcPr>
            <w:shd w:fill="FF7F66" w:color="FF7F66" w:val="solid"/>
            <w:vAlign w:val="center"/>
          </w:tcPr>
          <w:p>
            <w:pPr>
              <w:spacing w:before="60" w:after="60"/>
              <w:jc w:val="left"/>
            </w:pPr>
            <w:r>
              <w:rPr>
                <w:rFonts w:ascii="Montserrat" w:cs="Montserrat" w:eastAsia="Montserrat" w:hAnsi="Montserrat"/>
                <w:b/>
                <w:bCs/>
                <w:color w:val="FFFFFF"/>
                <w:sz w:val="20"/>
                <w:szCs w:val="20"/>
              </w:rPr>
              <w:t xml:space="preserve">Status</w:t>
            </w:r>
          </w:p>
        </w:tc>
      </w:tr>
      <w:tr>
        <w:tc>
          <w:tcPr>
            <w:vAlign w:val="center"/>
          </w:tcPr>
          <w:p>
            <w:pPr>
              <w:spacing w:before="40" w:after="40"/>
            </w:pPr>
            <w:r>
              <w:rPr>
                <w:rFonts w:ascii="Montserrat" w:cs="Montserrat" w:eastAsia="Montserrat" w:hAnsi="Montserrat"/>
                <w:color w:val="222222"/>
                <w:sz w:val="20"/>
                <w:szCs w:val="20"/>
              </w:rPr>
              <w:t xml:space="preserve">Media Mentions</w:t>
            </w:r>
          </w:p>
        </w:tc>
        <w:tc>
          <w:tcPr>
            <w:vAlign w:val="center"/>
          </w:tcPr>
          <w:p>
            <w:pPr>
              <w:spacing w:before="40" w:after="40"/>
            </w:pPr>
            <w:r>
              <w:rPr>
                <w:rFonts w:ascii="Montserrat" w:cs="Montserrat" w:eastAsia="Montserrat" w:hAnsi="Montserrat"/>
                <w:color w:val="222222"/>
                <w:sz w:val="20"/>
                <w:szCs w:val="20"/>
              </w:rPr>
              <w:t xml:space="preserve">120</w:t>
            </w:r>
          </w:p>
        </w:tc>
        <w:tc>
          <w:tcPr>
            <w:vAlign w:val="center"/>
          </w:tcPr>
          <w:p>
            <w:pPr>
              <w:spacing w:before="40" w:after="40"/>
            </w:pPr>
            <w:r>
              <w:rPr>
                <w:rFonts w:ascii="Montserrat" w:cs="Montserrat" w:eastAsia="Montserrat" w:hAnsi="Montserrat"/>
                <w:color w:val="222222"/>
                <w:sz w:val="20"/>
                <w:szCs w:val="20"/>
              </w:rPr>
              <w:t xml:space="preserve">147</w:t>
            </w:r>
          </w:p>
        </w:tc>
        <w:tc>
          <w:tcPr>
            <w:vAlign w:val="center"/>
          </w:tcPr>
          <w:p>
            <w:pPr>
              <w:spacing w:before="40" w:after="40"/>
            </w:pPr>
            <w:r>
              <w:rPr>
                <w:rFonts w:ascii="Montserrat" w:cs="Montserrat" w:eastAsia="Montserrat" w:hAnsi="Montserrat"/>
                <w:color w:val="222222"/>
                <w:sz w:val="20"/>
                <w:szCs w:val="20"/>
              </w:rPr>
              <w:t xml:space="preserve">Exceeded</w:t>
            </w:r>
          </w:p>
        </w:tc>
      </w:tr>
      <w:tr>
        <w:tc>
          <w:tcPr>
            <w:shd w:fill="F5F5F5" w:color="F5F5F5" w:val="solid"/>
            <w:vAlign w:val="center"/>
          </w:tcPr>
          <w:p>
            <w:pPr>
              <w:spacing w:before="40" w:after="40"/>
            </w:pPr>
            <w:r>
              <w:rPr>
                <w:rFonts w:ascii="Montserrat" w:cs="Montserrat" w:eastAsia="Montserrat" w:hAnsi="Montserrat"/>
                <w:color w:val="222222"/>
                <w:sz w:val="20"/>
                <w:szCs w:val="20"/>
              </w:rPr>
              <w:t xml:space="preserve">Stakeholder NPS</w:t>
            </w:r>
          </w:p>
        </w:tc>
        <w:tc>
          <w:tcPr>
            <w:shd w:fill="F5F5F5" w:color="F5F5F5" w:val="solid"/>
            <w:vAlign w:val="center"/>
          </w:tcPr>
          <w:p>
            <w:pPr>
              <w:spacing w:before="40" w:after="40"/>
            </w:pPr>
            <w:r>
              <w:rPr>
                <w:rFonts w:ascii="Montserrat" w:cs="Montserrat" w:eastAsia="Montserrat" w:hAnsi="Montserrat"/>
                <w:color w:val="222222"/>
                <w:sz w:val="20"/>
                <w:szCs w:val="20"/>
              </w:rPr>
              <w:t xml:space="preserve">40</w:t>
            </w:r>
          </w:p>
        </w:tc>
        <w:tc>
          <w:tcPr>
            <w:shd w:fill="F5F5F5" w:color="F5F5F5" w:val="solid"/>
            <w:vAlign w:val="center"/>
          </w:tcPr>
          <w:p>
            <w:pPr>
              <w:spacing w:before="40" w:after="40"/>
            </w:pPr>
            <w:r>
              <w:rPr>
                <w:rFonts w:ascii="Montserrat" w:cs="Montserrat" w:eastAsia="Montserrat" w:hAnsi="Montserrat"/>
                <w:color w:val="222222"/>
                <w:sz w:val="20"/>
                <w:szCs w:val="20"/>
              </w:rPr>
              <w:t xml:space="preserve">52</w:t>
            </w:r>
          </w:p>
        </w:tc>
        <w:tc>
          <w:tcPr>
            <w:shd w:fill="F5F5F5" w:color="F5F5F5" w:val="solid"/>
            <w:vAlign w:val="center"/>
          </w:tcPr>
          <w:p>
            <w:pPr>
              <w:spacing w:before="40" w:after="40"/>
            </w:pPr>
            <w:r>
              <w:rPr>
                <w:rFonts w:ascii="Montserrat" w:cs="Montserrat" w:eastAsia="Montserrat" w:hAnsi="Montserrat"/>
                <w:color w:val="222222"/>
                <w:sz w:val="20"/>
                <w:szCs w:val="20"/>
              </w:rPr>
              <w:t xml:space="preserve">Exceeded</w:t>
            </w:r>
          </w:p>
        </w:tc>
      </w:tr>
      <w:tr>
        <w:tc>
          <w:tcPr>
            <w:vAlign w:val="center"/>
          </w:tcPr>
          <w:p>
            <w:pPr>
              <w:spacing w:before="40" w:after="40"/>
            </w:pPr>
            <w:r>
              <w:rPr>
                <w:rFonts w:ascii="Montserrat" w:cs="Montserrat" w:eastAsia="Montserrat" w:hAnsi="Montserrat"/>
                <w:color w:val="222222"/>
                <w:sz w:val="20"/>
                <w:szCs w:val="20"/>
              </w:rPr>
              <w:t xml:space="preserve">Policy Meetings</w:t>
            </w:r>
          </w:p>
        </w:tc>
        <w:tc>
          <w:tcPr>
            <w:vAlign w:val="center"/>
          </w:tcPr>
          <w:p>
            <w:pPr>
              <w:spacing w:before="40" w:after="40"/>
            </w:pPr>
            <w:r>
              <w:rPr>
                <w:rFonts w:ascii="Montserrat" w:cs="Montserrat" w:eastAsia="Montserrat" w:hAnsi="Montserrat"/>
                <w:color w:val="222222"/>
                <w:sz w:val="20"/>
                <w:szCs w:val="20"/>
              </w:rPr>
              <w:t xml:space="preserve">10</w:t>
            </w:r>
          </w:p>
        </w:tc>
        <w:tc>
          <w:tcPr>
            <w:vAlign w:val="center"/>
          </w:tcPr>
          <w:p>
            <w:pPr>
              <w:spacing w:before="40" w:after="40"/>
            </w:pPr>
            <w:r>
              <w:rPr>
                <w:rFonts w:ascii="Montserrat" w:cs="Montserrat" w:eastAsia="Montserrat" w:hAnsi="Montserrat"/>
                <w:color w:val="222222"/>
                <w:sz w:val="20"/>
                <w:szCs w:val="20"/>
              </w:rPr>
              <w:t xml:space="preserve">8</w:t>
            </w:r>
          </w:p>
        </w:tc>
        <w:tc>
          <w:tcPr>
            <w:vAlign w:val="center"/>
          </w:tcPr>
          <w:p>
            <w:pPr>
              <w:spacing w:before="40" w:after="40"/>
            </w:pPr>
            <w:r>
              <w:rPr>
                <w:rFonts w:ascii="Montserrat" w:cs="Montserrat" w:eastAsia="Montserrat" w:hAnsi="Montserrat"/>
                <w:color w:val="222222"/>
                <w:sz w:val="20"/>
                <w:szCs w:val="20"/>
              </w:rPr>
              <w:t xml:space="preserve">On Track</w:t>
            </w:r>
          </w:p>
        </w:tc>
      </w:tr>
      <w:tr>
        <w:tc>
          <w:tcPr>
            <w:shd w:fill="F5F5F5" w:color="F5F5F5" w:val="solid"/>
            <w:vAlign w:val="center"/>
          </w:tcPr>
          <w:p>
            <w:pPr>
              <w:spacing w:before="40" w:after="40"/>
            </w:pPr>
            <w:r>
              <w:rPr>
                <w:rFonts w:ascii="Montserrat" w:cs="Montserrat" w:eastAsia="Montserrat" w:hAnsi="Montserrat"/>
                <w:color w:val="222222"/>
                <w:sz w:val="20"/>
                <w:szCs w:val="20"/>
              </w:rPr>
              <w:t xml:space="preserve">Crisis Response Time</w:t>
            </w:r>
          </w:p>
        </w:tc>
        <w:tc>
          <w:tcPr>
            <w:shd w:fill="F5F5F5" w:color="F5F5F5" w:val="solid"/>
            <w:vAlign w:val="center"/>
          </w:tcPr>
          <w:p>
            <w:pPr>
              <w:spacing w:before="40" w:after="40"/>
            </w:pPr>
            <w:r>
              <w:rPr>
                <w:rFonts w:ascii="Montserrat" w:cs="Montserrat" w:eastAsia="Montserrat" w:hAnsi="Montserrat"/>
                <w:color w:val="222222"/>
                <w:sz w:val="20"/>
                <w:szCs w:val="20"/>
              </w:rPr>
              <w:t xml:space="preserve">&lt; 2 hrs</w:t>
            </w:r>
          </w:p>
        </w:tc>
        <w:tc>
          <w:tcPr>
            <w:shd w:fill="F5F5F5" w:color="F5F5F5" w:val="solid"/>
            <w:vAlign w:val="center"/>
          </w:tcPr>
          <w:p>
            <w:pPr>
              <w:spacing w:before="40" w:after="40"/>
            </w:pPr>
            <w:r>
              <w:rPr>
                <w:rFonts w:ascii="Montserrat" w:cs="Montserrat" w:eastAsia="Montserrat" w:hAnsi="Montserrat"/>
                <w:color w:val="222222"/>
                <w:sz w:val="20"/>
                <w:szCs w:val="20"/>
              </w:rPr>
              <w:t xml:space="preserve">1.4 hrs</w:t>
            </w:r>
          </w:p>
        </w:tc>
        <w:tc>
          <w:tcPr>
            <w:shd w:fill="F5F5F5" w:color="F5F5F5" w:val="solid"/>
            <w:vAlign w:val="center"/>
          </w:tcPr>
          <w:p>
            <w:pPr>
              <w:spacing w:before="40" w:after="40"/>
            </w:pPr>
            <w:r>
              <w:rPr>
                <w:rFonts w:ascii="Montserrat" w:cs="Montserrat" w:eastAsia="Montserrat" w:hAnsi="Montserrat"/>
                <w:color w:val="222222"/>
                <w:sz w:val="20"/>
                <w:szCs w:val="20"/>
              </w:rPr>
              <w:t xml:space="preserve">Met</w:t>
            </w:r>
          </w:p>
        </w:tc>
      </w:tr>
      <w:tr>
        <w:tc>
          <w:tcPr>
            <w:vAlign w:val="center"/>
          </w:tcPr>
          <w:p>
            <w:pPr>
              <w:spacing w:before="40" w:after="40"/>
            </w:pPr>
            <w:r>
              <w:rPr>
                <w:rFonts w:ascii="Montserrat" w:cs="Montserrat" w:eastAsia="Montserrat" w:hAnsi="Montserrat"/>
                <w:color w:val="222222"/>
                <w:sz w:val="20"/>
                <w:szCs w:val="20"/>
              </w:rPr>
              <w:t xml:space="preserve">Share of Voice</w:t>
            </w:r>
          </w:p>
        </w:tc>
        <w:tc>
          <w:tcPr>
            <w:vAlign w:val="center"/>
          </w:tcPr>
          <w:p>
            <w:pPr>
              <w:spacing w:before="40" w:after="40"/>
            </w:pPr>
            <w:r>
              <w:rPr>
                <w:rFonts w:ascii="Montserrat" w:cs="Montserrat" w:eastAsia="Montserrat" w:hAnsi="Montserrat"/>
                <w:color w:val="222222"/>
                <w:sz w:val="20"/>
                <w:szCs w:val="20"/>
              </w:rPr>
              <w:t xml:space="preserve">18%</w:t>
            </w:r>
          </w:p>
        </w:tc>
        <w:tc>
          <w:tcPr>
            <w:vAlign w:val="center"/>
          </w:tcPr>
          <w:p>
            <w:pPr>
              <w:spacing w:before="40" w:after="40"/>
            </w:pPr>
            <w:r>
              <w:rPr>
                <w:rFonts w:ascii="Montserrat" w:cs="Montserrat" w:eastAsia="Montserrat" w:hAnsi="Montserrat"/>
                <w:color w:val="222222"/>
                <w:sz w:val="20"/>
                <w:szCs w:val="20"/>
              </w:rPr>
              <w:t xml:space="preserve">22%</w:t>
            </w:r>
          </w:p>
        </w:tc>
        <w:tc>
          <w:tcPr>
            <w:vAlign w:val="center"/>
          </w:tcPr>
          <w:p>
            <w:pPr>
              <w:spacing w:before="40" w:after="40"/>
            </w:pPr>
            <w:r>
              <w:rPr>
                <w:rFonts w:ascii="Montserrat" w:cs="Montserrat" w:eastAsia="Montserrat" w:hAnsi="Montserrat"/>
                <w:color w:val="222222"/>
                <w:sz w:val="20"/>
                <w:szCs w:val="20"/>
              </w:rPr>
              <w:t xml:space="preserve">Exceeded</w:t>
            </w:r>
          </w:p>
        </w:tc>
      </w:tr>
    </w:tbl>
    <w:p>
      <w:pPr>
        <w:pStyle w:val="Caption"/>
      </w:pPr>
      <w:r>
        <w:t xml:space="preserve">Table 1: Key Performance Indicators — Q4 2025</w:t>
      </w:r>
    </w:p>
    <w:p>
      <w:pPr>
        <w:pStyle w:val="Heading2"/>
      </w:pPr>
      <w:r>
        <w:t xml:space="preserve">Recommendations</w:t>
      </w:r>
    </w:p>
    <w:p>
      <w:pPr>
        <w:pStyle w:val="BodyText"/>
      </w:pPr>
      <w:r>
        <w:t xml:space="preserve">Based on the analysis presented in this report, Duke Strategies recommends the following actions for the upcoming period. These recommendations are designed to build on current momentum while addressing identified gaps in coverage and engagement.</w:t>
      </w:r>
    </w:p>
    <w:p>
      <w:pPr>
        <w:pStyle w:val="BodyText"/>
        <w:numPr>
          <w:ilvl w:val="0"/>
          <w:numId w:val="2"/>
        </w:numPr>
      </w:pPr>
      <w:r>
        <w:t xml:space="preserve">Expand digital thought leadership programme to include quarterly long-form content</w:t>
      </w:r>
    </w:p>
    <w:p>
      <w:pPr>
        <w:pStyle w:val="BodyText"/>
        <w:numPr>
          <w:ilvl w:val="0"/>
          <w:numId w:val="2"/>
        </w:numPr>
      </w:pPr>
      <w:r>
        <w:t xml:space="preserve">Increase frequency of stakeholder engagement sessions from bi-annual to quarterly</w:t>
      </w:r>
    </w:p>
    <w:p>
      <w:pPr>
        <w:pStyle w:val="BodyText"/>
        <w:numPr>
          <w:ilvl w:val="0"/>
          <w:numId w:val="2"/>
        </w:numPr>
      </w:pPr>
      <w:r>
        <w:t xml:space="preserve">Commission independent perception audit to validate internal sentiment tracking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7F66" w:sz="6" w:space="4"/>
      </w:pBdr>
      <w:tabs>
        <w:tab w:val="right" w:pos="9026"/>
      </w:tabs>
    </w:pPr>
    <w:r>
      <w:rPr>
        <w:rFonts w:ascii="Montserrat" w:cs="Montserrat" w:eastAsia="Montserrat" w:hAnsi="Montserrat"/>
        <w:i/>
        <w:iCs/>
        <w:color w:val="807F83"/>
        <w:sz w:val="16"/>
        <w:szCs w:val="16"/>
      </w:rPr>
      <w:t xml:space="preserve">Confidential</w:t>
    </w:r>
    <w:r>
      <w:tab/>
    </w:r>
    <w:r>
      <w:rPr>
        <w:rFonts w:ascii="Montserrat" w:cs="Montserrat" w:eastAsia="Montserrat" w:hAnsi="Montserrat"/>
        <w:color w:val="807F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F66" w:sz="6" w:space="4"/>
      </w:pBdr>
      <w:tabs>
        <w:tab w:val="right" w:pos="9026"/>
      </w:tabs>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tab/>
    </w:r>
    <w:r>
      <w:rPr>
        <w:rFonts w:ascii="Montserrat" w:cs="Montserrat" w:eastAsia="Montserrat" w:hAnsi="Montserrat"/>
        <w:color w:val="807F83"/>
        <w:sz w:val="18"/>
        <w:szCs w:val="18"/>
      </w:rPr>
      <w:t xml:space="preserve">[Document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color w:val="FF7F66"/>
      </w:rPr>
    </w:lvl>
  </w:abstractNum>
  <w:abstractNum w:abstractNumId="3" w15:restartNumberingAfterBreak="0">
    <w:multiLevelType w:val="hybridMultilevel"/>
    <w:lvl w:ilvl="0" w15:tentative="1">
      <w:start w:val="1"/>
      <w:numFmt w:val="decimal"/>
      <w:lvlText w:val="%1."/>
      <w:lvlJc w:val="left"/>
      <w:pPr>
        <w:ind w:left="720" w:hanging="360"/>
      </w:pPr>
      <w:rPr>
        <w:color w:val="FF7F6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807F83"/>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20"/>
    </w:pPr>
    <w:rPr>
      <w:rFonts w:ascii="Montserrat" w:cs="Montserrat" w:eastAsia="Montserrat" w:hAnsi="Montserrat"/>
      <w:b/>
      <w:bCs/>
      <w:color w:val="FF7F66"/>
      <w:sz w:val="48"/>
      <w:szCs w:val="48"/>
    </w:rPr>
  </w:style>
  <w:style w:type="paragraph" w:styleId="Heading2">
    <w:name w:val="Heading 2"/>
    <w:basedOn w:val="Normal"/>
    <w:next w:val="Normal"/>
    <w:qFormat/>
    <w:pPr>
      <w:spacing w:before="280" w:after="80"/>
    </w:pPr>
    <w:rPr>
      <w:rFonts w:ascii="Montserrat" w:cs="Montserrat" w:eastAsia="Montserrat" w:hAnsi="Montserrat"/>
      <w:b/>
      <w:bCs/>
      <w:color w:val="FF7F66"/>
      <w:sz w:val="36"/>
      <w:szCs w:val="36"/>
    </w:rPr>
  </w:style>
  <w:style w:type="paragraph" w:styleId="Heading3">
    <w:name w:val="Heading 3"/>
    <w:basedOn w:val="Normal"/>
    <w:next w:val="Normal"/>
    <w:qFormat/>
    <w:pPr>
      <w:spacing w:before="200" w:after="60"/>
    </w:pPr>
    <w:rPr>
      <w:rFonts w:ascii="Montserrat" w:cs="Montserrat" w:eastAsia="Montserrat" w:hAnsi="Montserrat"/>
      <w:b/>
      <w:bCs/>
      <w:color w:val="FF7F6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Text">
    <w:name w:val="Body Text"/>
    <w:pPr>
      <w:spacing w:line="360" w:after="120"/>
    </w:pPr>
    <w:rPr>
      <w:rFonts w:ascii="Montserrat" w:cs="Montserrat" w:eastAsia="Montserrat" w:hAnsi="Montserrat"/>
      <w:color w:val="807F83"/>
      <w:sz w:val="22"/>
      <w:szCs w:val="22"/>
    </w:rPr>
  </w:style>
  <w:style w:type="paragraph" w:styleId="BlockQuote">
    <w:name w:val="Block Quote"/>
    <w:pPr>
      <w:pBdr>
        <w:left w:val="single" w:color="FF7F66" w:sz="24" w:space="10"/>
      </w:pBdr>
      <w:spacing w:line="360" w:after="120"/>
      <w:ind w:left="720"/>
    </w:pPr>
    <w:rPr>
      <w:rFonts w:ascii="Montserrat" w:cs="Montserrat" w:eastAsia="Montserrat" w:hAnsi="Montserrat"/>
      <w:i/>
      <w:iCs/>
      <w:color w:val="807F83"/>
      <w:sz w:val="22"/>
      <w:szCs w:val="22"/>
    </w:rPr>
  </w:style>
  <w:style w:type="paragraph" w:styleId="Caption">
    <w:name w:val="Caption"/>
    <w:pPr>
      <w:spacing w:before="40" w:after="160"/>
    </w:pPr>
    <w:rPr>
      <w:rFonts w:ascii="Montserrat" w:cs="Montserrat" w:eastAsia="Montserrat" w:hAnsi="Montserrat"/>
      <w:i/>
      <w:iCs/>
      <w:color w:val="807F8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6328eb4c984f428f6392d5688c9664f8c3f1f86.png"/><Relationship Id="rId9" Type="http://schemas.openxmlformats.org/officeDocument/2006/relationships/image" Target="media/8c2db0a646f105492a5b3a4b9384b5bca7a7ddb1.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638ffa3de4027211db8666a85386ab5a8305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Duke Strategies Report</dc:title>
  <dc:creator>Duke Strategies</dc:creator>
  <cp:lastModifiedBy>Un-named</cp:lastModifiedBy>
  <cp:revision>1</cp:revision>
  <dcterms:created xsi:type="dcterms:W3CDTF">2026-03-30T09:50:52.164Z</dcterms:created>
  <dcterms:modified xsi:type="dcterms:W3CDTF">2026-03-30T09:50:52.165Z</dcterms:modified>
</cp:coreProperties>
</file>

<file path=docProps/custom.xml><?xml version="1.0" encoding="utf-8"?>
<Properties xmlns="http://schemas.openxmlformats.org/officeDocument/2006/custom-properties" xmlns:vt="http://schemas.openxmlformats.org/officeDocument/2006/docPropsVTypes"/>
</file>