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2040" w:right="1417" w:bottom="1360" w:left="1417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00"/>
      <w:gridCol w:w="100"/>
      <w:gridCol w:w="100"/>
    </w:tblGrid>
    <w:tr>
      <w:tc>
        <w:tcPr>
          <w:tcW w:type="pct" w:w="33.33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pStyle w:val="FooterText"/>
            <w:jc w:val="left"/>
          </w:pPr>
          <w:r>
            <w:t xml:space="preserve">Ogilvy</w:t>
          </w:r>
        </w:p>
      </w:tc>
      <w:tc>
        <w:tcPr>
          <w:tcW w:type="pct" w:w="33.33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pStyle w:val="FooterText"/>
            <w:jc w:val="center"/>
          </w:pPr>
          <w:r>
            <w:t xml:space="preserve"/>
          </w:r>
        </w:p>
      </w:tc>
      <w:tc>
        <w:tcPr>
          <w:tcW w:type="pct" w:w="33.33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pStyle w:val="FooterText"/>
            <w:jc w:val="right"/>
          </w:pPr>
          <w:r>
            <w:fldChar w:fldCharType="begin"/>
            <w:instrText xml:space="preserve">PAGE</w:instrText>
            <w:fldChar w:fldCharType="separate"/>
            <w:fldChar w:fldCharType="end"/>
          </w:r>
          <w:r>
            <w:t xml:space="preserve"> / </w:t>
          </w:r>
          <w: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00"/>
      <w:gridCol w:w="100"/>
      <w:gridCol w:w="100"/>
    </w:tblGrid>
    <w:tr>
      <w:tc>
        <w:tcPr>
          <w:tcW w:type="pct" w:w="33.33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pStyle w:val="FooterText"/>
            <w:jc w:val="left"/>
          </w:pPr>
          <w:r>
            <w:t xml:space="preserve">C/ Maguá #3, Urb. Los Ríos, Distrito Nacional, República Dominicana</w:t>
          </w:r>
        </w:p>
      </w:tc>
      <w:tc>
        <w:tcPr>
          <w:tcW w:type="pct" w:w="33.33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pStyle w:val="FooterText"/>
            <w:jc w:val="center"/>
          </w:pPr>
          <w:r>
            <w:t xml:space="preserve">Ogilvy</w:t>
          </w:r>
        </w:p>
      </w:tc>
      <w:tc>
        <w:tcPr>
          <w:tcW w:type="pct" w:w="33.33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pStyle w:val="FooterText"/>
            <w:jc w:val="right"/>
          </w:pPr>
          <w:r>
            <w:t xml:space="preserve">© </w:t>
          </w:r>
          <w:fldSimple w:instr="DATE \@ &quot;yyyy&quot;"/>
          <w:r>
            <w:t xml:space="preserve"> Ogilvy Dominicana. Todos los derechos reservados.</w:t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drawing>
        <wp:inline distT="0" distB="0" distL="0" distR="0">
          <wp:extent cx="323850" cy="3238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3238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drawing>
        <wp:inline distT="0" distB="0" distL="0" distR="0">
          <wp:extent cx="1285875" cy="5048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85875" cy="5048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EB3F43" w:sz="12" w:space="1"/>
      </w:pBdr>
      <w:spacing w:before="96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970a48a454a6727ebede5edcf5af28ebee356f8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8e5d2bf7287833335d933e0d821bdf34a24a754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ogilvy letterhead</dc:title>
  <dc:creator>render-anchors.js</dc:creator>
  <dc:description>Brand-token DOCX letterhead — generated by render-anchors.js (ORG-PLAN-149).</dc:description>
  <cp:lastModifiedBy>Un-named</cp:lastModifiedBy>
  <cp:revision>1</cp:revision>
  <dcterms:created xsi:type="dcterms:W3CDTF">2026-09-05T00:23:26.155Z</dcterms:created>
  <dcterms:modified xsi:type="dcterms:W3CDTF">2026-09-05T00:23:26.155Z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