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40" w:right="1417" w:bottom="1360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>Ogilvy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/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>Ogilvy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t xml:space="preserve">© </w:t>
          </w:r>
          <w:fldSimple w:instr="DATE \@ &quot;yyyy&quot;"/>
          <w:r>
            <w:t xml:space="preserve"> Ogilvy Dominicana. Todos los derechos reservados.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3238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285875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B3F43" w:sz="12" w:space="1"/>
      </w:pBdr>
      <w:spacing w:before="9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970a48a454a6727ebede5edcf5af28ebee356f8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8e5d2bf7287833335d933e0d821bdf34a24a754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ogilvy letterhead</dc:title>
  <dc:creator>render-anchors.js</dc:creator>
  <dc:description>Brand-token DOCX letterhead — generated by render-anchors.js (ORG-PLAN-149).</dc:description>
  <cp:lastModifiedBy>Un-named</cp:lastModifiedBy>
  <cp:revision>1</cp:revision>
  <dcterms:created xsi:type="dcterms:W3CDTF">2026-08-31T03:58:56.682Z</dcterms:created>
  <dcterms:modified xsi:type="dcterms:W3CDTF">2026-08-31T03:58:56.682Z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