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ScaleUp Financial Management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ScaleUp Financial Management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2026 ScaleUp Financial Management. All rights reserved.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33350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20764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A33D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ac3c031ac7247ddc978b3c87806a604c36d1d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dac3c031ac7247ddc978b3c87806a604c36d1d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starttoscale letterhead</dc:title>
  <dc:creator>render-anchors.js</dc:creator>
  <dc:description>Brand-token DOCX letterhead — generated by render-anchors.js.</dc:description>
  <cp:lastModifiedBy>Un-named</cp:lastModifiedBy>
  <cp:revision>1</cp:revision>
  <dcterms:created xsi:type="dcterms:W3CDTF">2026-10-13T15:50:49.486Z</dcterms:created>
  <dcterms:modified xsi:type="dcterms:W3CDTF">2026-10-13T15:50:49.486Z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