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040" w:right="1417" w:bottom="1360" w:left="1417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>Start to Scale Financial Management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fldChar w:fldCharType="begin"/>
            <w:instrText xml:space="preserve">PAGE</w:instrText>
            <w:fldChar w:fldCharType="separate"/>
            <w:fldChar w:fldCharType="end"/>
          </w:r>
          <w:r>
            <w:t xml:space="preserve"> / </w:t>
          </w:r>
          <w: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  <w:gridCol w:w="100"/>
    </w:tblGrid>
    <w:tr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left"/>
          </w:pPr>
          <w:r>
            <w:t xml:space="preserve"/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center"/>
          </w:pPr>
          <w:r>
            <w:t xml:space="preserve">Start to Scale Financial Management</w:t>
          </w:r>
        </w:p>
      </w:tc>
      <w:tc>
        <w:tcPr>
          <w:tcW w:type="pct" w:w="33.33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pStyle w:val="FooterText"/>
            <w:jc w:val="right"/>
          </w:pPr>
          <w:r>
            <w:t xml:space="preserve">© 2026 Start to Scale Financial Management. All rights reserved.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1552575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2575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2419350" cy="5048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9350" cy="504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E8A33D" w:sz="12" w:space="1"/>
      </w:pBdr>
      <w:spacing w:before="9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be559c7120f719652791bcafb414b5df2fb7805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be559c7120f719652791bcafb414b5df2fb780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starttoscale letterhead</dc:title>
  <dc:creator>render-anchors.js</dc:creator>
  <dc:description>Brand-token DOCX letterhead — generated by render-anchors.js (ORG-PLAN-149).</dc:description>
  <cp:lastModifiedBy>Un-named</cp:lastModifiedBy>
  <cp:revision>1</cp:revision>
  <dcterms:created xsi:type="dcterms:W3CDTF">2026-07-23T13:18:54.658Z</dcterms:created>
  <dcterms:modified xsi:type="dcterms:W3CDTF">2026-07-23T13:18:54.658Z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