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Title — Archivo sample</w:t>
      </w:r>
    </w:p>
    <w:p>
      <w:pPr>
        <w:pStyle w:val="Heading1"/>
      </w:pPr>
      <w:r>
        <w:t xml:space="preserve">Heading1 — Archivo sample</w:t>
      </w:r>
    </w:p>
    <w:p>
      <w:pPr>
        <w:pStyle w:val="Heading2"/>
      </w:pPr>
      <w:r>
        <w:t xml:space="preserve">Heading2 — Archivo sample</w:t>
      </w:r>
    </w:p>
    <w:p>
      <w:pPr>
        <w:pStyle w:val="Heading3"/>
      </w:pPr>
      <w:r>
        <w:t xml:space="preserve">Heading3 — Archivo sample</w:t>
      </w:r>
    </w:p>
    <w:p>
      <w:pPr>
        <w:pStyle w:val="BodyText"/>
      </w:pPr>
      <w:r>
        <w:t xml:space="preserve">BodyText — Archivo sample</w:t>
      </w:r>
    </w:p>
    <w:p>
      <w:pPr>
        <w:pStyle w:val="BodyTextBold"/>
      </w:pPr>
      <w:r>
        <w:t xml:space="preserve">BodyTextBold — Archivo sample</w:t>
      </w:r>
    </w:p>
    <w:p>
      <w:pPr>
        <w:pStyle w:val="Quote"/>
      </w:pPr>
      <w:r>
        <w:t xml:space="preserve">Quote — Archivo sample</w:t>
      </w:r>
    </w:p>
    <w:p>
      <w:pPr>
        <w:pStyle w:val="Code"/>
      </w:pPr>
      <w:r>
        <w:t xml:space="preserve">Code — Archivo sample</w:t>
      </w:r>
    </w:p>
    <w:p>
      <w:pPr>
        <w:pStyle w:val="Caption"/>
      </w:pPr>
      <w:r>
        <w:t xml:space="preserve">Caption — Archivo sample</w:t>
      </w:r>
    </w:p>
    <w:p>
      <w:pPr>
        <w:pStyle w:val="FooterText"/>
      </w:pPr>
      <w:r>
        <w:t xml:space="preserve">FooterText — Archivo sample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qFormat/>
    <w:pPr>
      <w:spacing w:after="360"/>
    </w:pPr>
    <w:rPr>
      <w:rFonts w:ascii="Archivo" w:cs="Archivo" w:eastAsia="Archivo" w:hAnsi="Archivo"/>
      <w:b/>
      <w:bCs/>
      <w:color w:val="0A1F3D"/>
      <w:sz w:val="56"/>
      <w:szCs w:val="56"/>
    </w:rPr>
  </w:style>
  <w:style w:type="paragraph" w:styleId="Heading1">
    <w:name w:val="Heading1"/>
    <w:basedOn w:val="Title"/>
    <w:qFormat/>
    <w:pPr>
      <w:spacing w:after="160" w:before="360"/>
    </w:pPr>
    <w:rPr>
      <w:rFonts w:ascii="Archivo" w:cs="Archivo" w:eastAsia="Archivo" w:hAnsi="Archivo"/>
      <w:b/>
      <w:bCs/>
      <w:color w:val="0A1F3D"/>
      <w:sz w:val="40"/>
      <w:szCs w:val="40"/>
    </w:rPr>
  </w:style>
  <w:style w:type="paragraph" w:styleId="Heading2">
    <w:name w:val="Heading2"/>
    <w:qFormat/>
    <w:pPr>
      <w:spacing w:after="120" w:before="280"/>
    </w:pPr>
    <w:rPr>
      <w:rFonts w:ascii="Archivo" w:cs="Archivo" w:eastAsia="Archivo" w:hAnsi="Archivo"/>
      <w:b/>
      <w:bCs/>
      <w:color w:val="0A1F3D"/>
      <w:sz w:val="32"/>
      <w:szCs w:val="32"/>
    </w:rPr>
  </w:style>
  <w:style w:type="paragraph" w:styleId="Heading3">
    <w:name w:val="Heading3"/>
    <w:qFormat/>
    <w:pPr>
      <w:spacing w:after="80" w:before="200"/>
    </w:pPr>
    <w:rPr>
      <w:rFonts w:ascii="Archivo" w:cs="Archivo" w:eastAsia="Archivo" w:hAnsi="Archivo"/>
      <w:b/>
      <w:bCs/>
      <w:color w:val="0A1F3D"/>
      <w:sz w:val="26"/>
      <w:szCs w:val="26"/>
    </w:rPr>
  </w:style>
  <w:style w:type="paragraph" w:styleId="BodyText">
    <w:name w:val="BodyText"/>
    <w:qFormat/>
    <w:pPr>
      <w:spacing w:after="160" w:line="336" w:lineRule="auto"/>
    </w:pPr>
    <w:rPr>
      <w:rFonts w:ascii="Archivo" w:cs="Archivo" w:eastAsia="Archivo" w:hAnsi="Archivo"/>
      <w:b w:val="false"/>
      <w:bCs w:val="false"/>
      <w:color w:val="0A1F3D"/>
      <w:sz w:val="22"/>
      <w:szCs w:val="22"/>
    </w:rPr>
  </w:style>
  <w:style w:type="paragraph" w:styleId="BodyTextBold">
    <w:name w:val="BodyTextBold"/>
    <w:basedOn w:val="BodyText"/>
    <w:qFormat/>
    <w:rPr>
      <w:b/>
      <w:bCs/>
    </w:rPr>
  </w:style>
  <w:style w:type="paragraph" w:styleId="Quote">
    <w:name w:val="Quote"/>
    <w:basedOn w:val="BodyText"/>
    <w:qFormat/>
    <w:pPr>
      <w:pBdr>
        <w:left w:val="single" w:color="E8A33D" w:sz="24" w:space="12"/>
      </w:pBdr>
      <w:ind w:left="566"/>
    </w:pPr>
    <w:rPr>
      <w:i/>
      <w:iCs/>
      <w:color w:val="0A1F3D"/>
    </w:rPr>
  </w:style>
  <w:style w:type="paragraph" w:styleId="Code">
    <w:name w:val="Code"/>
    <w:qFormat/>
    <w:rPr>
      <w:rFonts w:ascii="JetBrains Mono" w:cs="JetBrains Mono" w:eastAsia="JetBrains Mono" w:hAnsi="JetBrains Mono"/>
      <w:b w:val="false"/>
      <w:bCs w:val="false"/>
      <w:color w:val="0A1F3D"/>
      <w:sz w:val="20"/>
      <w:szCs w:val="20"/>
    </w:rPr>
  </w:style>
  <w:style w:type="paragraph" w:styleId="Caption">
    <w:name w:val="Caption"/>
    <w:qFormat/>
    <w:rPr>
      <w:rFonts w:ascii="Archivo" w:cs="Archivo" w:eastAsia="Archivo" w:hAnsi="Archivo"/>
      <w:b w:val="false"/>
      <w:bCs w:val="false"/>
      <w:i/>
      <w:iCs/>
      <w:color w:val="6B7280"/>
      <w:sz w:val="18"/>
      <w:szCs w:val="18"/>
    </w:rPr>
  </w:style>
  <w:style w:type="paragraph" w:styleId="FooterText">
    <w:name w:val="FooterText"/>
    <w:qFormat/>
    <w:rPr>
      <w:rFonts w:ascii="Archivo" w:cs="Archivo" w:eastAsia="Archivo" w:hAnsi="Archivo"/>
      <w:b w:val="false"/>
      <w:bCs w:val="false"/>
      <w:color w:val="6B728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starttoscale DOCX styles</dc:title>
  <dc:creator>render-anchors.js</dc:creator>
  <dc:description>Brand-token DOCX style reference — generated by render-anchors.js (ORG-PLAN-149).</dc:description>
  <cp:lastModifiedBy>Un-named</cp:lastModifiedBy>
  <cp:revision>1</cp:revision>
  <dcterms:created xsi:type="dcterms:W3CDTF">2026-07-23T13:18:54.579Z</dcterms:created>
  <dcterms:modified xsi:type="dcterms:W3CDTF">2026-07-23T13:18:54.580Z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