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Space Mono" w:cs="Space Mono" w:eastAsia="Space Mono" w:hAnsi="Space Mono"/>
          <w:color w:val="7FB3D3"/>
          <w:spacing w:val="160"/>
          <w:sz w:val="16"/>
          <w:szCs w:val="16"/>
        </w:rPr>
        <w:t xml:space="preserve">STRATEGY AUDIT &amp; ADVISORY</w:t>
      </w:r>
    </w:p>
    <w:p>
      <w:pPr>
        <w:spacing w:after="200"/>
      </w:pPr>
    </w:p>
    <w:p>
      <w:pPr>
        <w:spacing w:after="120"/>
      </w:pPr>
      <w:r>
        <w:rPr>
          <w:rFonts w:ascii="Syne" w:cs="Syne" w:eastAsia="Syne" w:hAnsi="Syne"/>
          <w:b/>
          <w:bCs/>
          <w:color w:val="0A1628"/>
          <w:sz w:val="56"/>
          <w:szCs w:val="56"/>
        </w:rPr>
        <w:t xml:space="preserve">Baseline Strategy Documentation Assessment</w:t>
      </w:r>
    </w:p>
    <w:p>
      <w:pPr>
        <w:pBdr>
          <w:bottom w:val="single" w:color="7FB3D3" w:sz="6" w:space="12"/>
        </w:pBdr>
        <w:spacing w:after="240"/>
      </w:pPr>
      <w:r>
        <w:rPr>
          <w:sz w:val="4"/>
          <w:szCs w:val="4"/>
        </w:rPr>
        <w:t xml:space="preserve"/>
      </w:r>
    </w:p>
    <w:p>
      <w:pPr>
        <w:spacing w:after="480"/>
      </w:pPr>
      <w:r>
        <w:rPr>
          <w:rFonts w:ascii="Work Sans" w:cs="Work Sans" w:eastAsia="Work Sans" w:hAnsi="Work Sans"/>
          <w:i/>
          <w:iCs/>
          <w:color w:val="6E7681"/>
          <w:sz w:val="24"/>
          <w:szCs w:val="24"/>
        </w:rPr>
        <w:t xml:space="preserve">Assessing strategic documentation to strengthen clarity, alignment and execution</w:t>
      </w:r>
    </w:p>
    <w:p>
      <w:pPr>
        <w:spacing w:after="60"/>
      </w:pPr>
      <w:r>
        <w:rPr>
          <w:rFonts w:ascii="Space Mono" w:cs="Space Mono" w:eastAsia="Space Mono" w:hAnsi="Space Mono"/>
          <w:color w:val="8B949E"/>
          <w:sz w:val="18"/>
          <w:szCs w:val="18"/>
        </w:rPr>
        <w:t xml:space="preserve">Prepared by  </w:t>
      </w:r>
      <w:r>
        <w:rPr>
          <w:rFonts w:ascii="Work Sans" w:cs="Work Sans" w:eastAsia="Work Sans" w:hAnsi="Work Sans"/>
          <w:b/>
          <w:bCs/>
          <w:color w:val="1B3A5C"/>
          <w:sz w:val="18"/>
          <w:szCs w:val="18"/>
        </w:rPr>
        <w:t xml:space="preserve">Strategic Popoltastic</w:t>
      </w:r>
    </w:p>
    <w:p>
      <w:pPr>
        <w:spacing w:after="60"/>
      </w:pPr>
      <w:r>
        <w:rPr>
          <w:rFonts w:ascii="Space Mono" w:cs="Space Mono" w:eastAsia="Space Mono" w:hAnsi="Space Mono"/>
          <w:color w:val="8B949E"/>
          <w:sz w:val="18"/>
          <w:szCs w:val="18"/>
        </w:rPr>
        <w:t xml:space="preserve">Date  </w:t>
      </w:r>
      <w:r>
        <w:rPr>
          <w:rFonts w:ascii="Work Sans" w:cs="Work Sans" w:eastAsia="Work Sans" w:hAnsi="Work Sans"/>
          <w:color w:val="0A1628"/>
          <w:sz w:val="18"/>
          <w:szCs w:val="18"/>
        </w:rPr>
        <w:t xml:space="preserve">March 2026</w:t>
      </w:r>
    </w:p>
    <w:p>
      <w:pPr>
        <w:spacing w:after="480"/>
      </w:pPr>
      <w:r>
        <w:rPr>
          <w:rFonts w:ascii="Space Mono" w:cs="Space Mono" w:eastAsia="Space Mono" w:hAnsi="Space Mono"/>
          <w:color w:val="8B949E"/>
          <w:sz w:val="18"/>
          <w:szCs w:val="18"/>
        </w:rPr>
        <w:t xml:space="preserve">Classification  </w:t>
      </w:r>
      <w:r>
        <w:rPr>
          <w:rFonts w:ascii="Work Sans" w:cs="Work Sans" w:eastAsia="Work Sans" w:hAnsi="Work Sans"/>
          <w:color w:val="0A1628"/>
          <w:sz w:val="18"/>
          <w:szCs w:val="18"/>
        </w:rPr>
        <w:t xml:space="preserve">Confidential</w:t>
      </w:r>
    </w:p>
    <w:p>
      <w:pPr>
        <w:jc w:val="left"/>
      </w:pPr>
      <w:r>
        <w:rPr>
          <w:rFonts w:ascii="Space Mono" w:cs="Space Mono" w:eastAsia="Space Mono" w:hAnsi="Space Mono"/>
          <w:color w:val="6B90B8"/>
          <w:sz w:val="18"/>
          <w:szCs w:val="18"/>
        </w:rPr>
        <w:t xml:space="preserve">strategicpopoltastic.com</w:t>
      </w:r>
    </w:p>
    <w:p>
      <w:pPr>
        <w:sectPr>
          <w:pgSz w:w="11906" w:h="16838" w:orient="portrait"/>
          <w:pgMar w:top="2880" w:right="1440" w:bottom="1440" w:left="1440" w:header="708" w:footer="708" w:gutter="0"/>
          <w:pgNumType/>
          <w:docGrid w:linePitch="360"/>
        </w:sectPr>
      </w:pPr>
    </w:p>
    <w:p>
      <w:pPr>
        <w:spacing w:after="360"/>
      </w:pPr>
      <w:r>
        <w:rPr>
          <w:rFonts w:ascii="Syne" w:cs="Syne" w:eastAsia="Syne" w:hAnsi="Syne"/>
          <w:b/>
          <w:bCs/>
          <w:color w:val="0A1628"/>
          <w:sz w:val="40"/>
          <w:szCs w:val="40"/>
        </w:rPr>
        <w:t xml:space="preserve">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sectPr>
          <w:headerReference w:type="default" r:id="rId6"/>
          <w:footerReference w:type="default" r:id="rId7"/>
          <w:type w:val="nextPage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Executive Summary</w:t>
      </w:r>
    </w:p>
    <w:p>
      <w:pPr>
        <w:spacing w:after="200"/>
      </w:pPr>
      <w:r>
        <w:rPr>
          <w:rFonts w:ascii="Work Sans" w:cs="Work Sans" w:eastAsia="Work Sans" w:hAnsi="Work Sans"/>
          <w:color w:val="0A1628"/>
          <w:sz w:val="22"/>
          <w:szCs w:val="22"/>
        </w:rPr>
        <w:t xml:space="preserve">This report presents the findings of a baseline strategy documentation review conducted for [Client Name]. The assessment evaluates the quality, clarity, and relevance of existing strategic documentation using the Rule of Three framework.</w:t>
      </w:r>
    </w:p>
    <w:p>
      <w:pPr>
        <w:pBdr>
          <w:left w:val="single" w:color="7FB3D3" w:sz="12" w:space="12"/>
        </w:pBdr>
        <w:shd w:fill="EDF5FA" w:val="clear"/>
        <w:spacing w:before="120" w:after="120"/>
        <w:ind w:left="360"/>
      </w:pPr>
      <w:r>
        <w:rPr>
          <w:rFonts w:ascii="Work Sans" w:cs="Work Sans" w:eastAsia="Work Sans" w:hAnsi="Work Sans"/>
          <w:color w:val="0A1628"/>
          <w:sz w:val="20"/>
          <w:szCs w:val="20"/>
        </w:rPr>
        <w:t xml:space="preserve">Key finding: The organisation demonstrates strong cultural foundation and strategic thinking, but lacks a unified strategy document that ties initiatives to measurable outcomes.</w:t>
      </w:r>
    </w:p>
    <w:p>
      <w:pPr>
        <w:pStyle w:val="Heading2"/>
      </w:pPr>
      <w:r>
        <w:t xml:space="preserve">Methodology</w:t>
      </w:r>
    </w:p>
    <w:p>
      <w:pPr>
        <w:spacing w:after="200"/>
      </w:pPr>
      <w:r>
        <w:rPr>
          <w:rFonts w:ascii="Work Sans" w:cs="Work Sans" w:eastAsia="Work Sans" w:hAnsi="Work Sans"/>
          <w:color w:val="0A1628"/>
          <w:sz w:val="22"/>
          <w:szCs w:val="22"/>
        </w:rPr>
        <w:t xml:space="preserve">The audit followed Strategic Popoltastic's proprietary baseline assessment framework, evaluating documents against six dimensions: strategic coherence, market orientation, competitive positioning, resource alignment, execution readiness, and governance clarity.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shd w:fill="1B3A5C" w:val="clear"/>
          </w:tcPr>
          <w:p>
            <w:pPr>
              <w:spacing w:before="60" w:after="60"/>
            </w:pPr>
            <w:r>
              <w:rPr>
                <w:rFonts w:ascii="Work Sans" w:cs="Work Sans" w:eastAsia="Work Sans" w:hAnsi="Work Sans"/>
                <w:b/>
                <w:bCs/>
                <w:color w:val="FFFFFF"/>
                <w:sz w:val="18"/>
                <w:szCs w:val="18"/>
              </w:rPr>
              <w:t xml:space="preserve">Dimension</w:t>
            </w:r>
          </w:p>
        </w:tc>
        <w:tc>
          <w:tcPr>
            <w:tcW w:type="dxa" w:w="3000"/>
            <w:shd w:fill="1B3A5C" w:val="clear"/>
          </w:tcPr>
          <w:p>
            <w:pPr>
              <w:spacing w:before="60" w:after="60"/>
            </w:pPr>
            <w:r>
              <w:rPr>
                <w:rFonts w:ascii="Work Sans" w:cs="Work Sans" w:eastAsia="Work Sans" w:hAnsi="Work Sans"/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W w:type="dxa" w:w="3000"/>
            <w:shd w:fill="1B3A5C" w:val="clear"/>
          </w:tcPr>
          <w:p>
            <w:pPr>
              <w:spacing w:before="60" w:after="60"/>
            </w:pPr>
            <w:r>
              <w:rPr>
                <w:rFonts w:ascii="Work Sans" w:cs="Work Sans" w:eastAsia="Work Sans" w:hAnsi="Work Sans"/>
                <w:b/>
                <w:bCs/>
                <w:color w:val="FFFFFF"/>
                <w:sz w:val="18"/>
                <w:szCs w:val="18"/>
              </w:rPr>
              <w:t xml:space="preserve">Rating</w:t>
            </w:r>
          </w:p>
        </w:tc>
      </w:tr>
      <w:tr>
        <w:tc>
          <w:tcPr>
            <w:tcW w:type="dxa" w:w="3000"/>
            <w:shd w:fill="F0F3F6" w:val="clear"/>
          </w:tcPr>
          <w:p>
            <w:pPr>
              <w:spacing w:before="40" w:after="40"/>
            </w:pPr>
            <w:r>
              <w:rPr>
                <w:rFonts w:ascii="Work Sans" w:cs="Work Sans" w:eastAsia="Work Sans" w:hAnsi="Work Sans"/>
                <w:color w:val="0A1628"/>
                <w:sz w:val="18"/>
                <w:szCs w:val="18"/>
              </w:rPr>
              <w:t xml:space="preserve">Strategic Coherence</w:t>
            </w:r>
          </w:p>
        </w:tc>
        <w:tc>
          <w:tcPr>
            <w:tcW w:type="dxa" w:w="3000"/>
            <w:shd w:fill="F0F3F6" w:val="clear"/>
          </w:tcPr>
          <w:p>
            <w:pPr>
              <w:spacing w:before="40" w:after="40"/>
            </w:pPr>
            <w:r>
              <w:rPr>
                <w:rFonts w:ascii="Space Mono" w:cs="Space Mono" w:eastAsia="Space Mono" w:hAnsi="Space Mono"/>
                <w:color w:val="0A1628"/>
                <w:sz w:val="18"/>
                <w:szCs w:val="18"/>
              </w:rPr>
              <w:t xml:space="preserve">7.5 / 10</w:t>
            </w:r>
          </w:p>
        </w:tc>
        <w:tc>
          <w:tcPr>
            <w:tcW w:type="dxa" w:w="3000"/>
            <w:shd w:fill="F0F3F6" w:val="clear"/>
          </w:tcPr>
          <w:p>
            <w:pPr>
              <w:spacing w:before="40" w:after="40"/>
            </w:pPr>
            <w:r>
              <w:rPr>
                <w:rFonts w:ascii="Space Mono" w:cs="Space Mono" w:eastAsia="Space Mono" w:hAnsi="Space Mono"/>
                <w:color w:val="0A1628"/>
                <w:sz w:val="18"/>
                <w:szCs w:val="18"/>
              </w:rPr>
              <w:t xml:space="preserve">Strong</w:t>
            </w:r>
          </w:p>
        </w:tc>
      </w:tr>
      <w:tr>
        <w:tc>
          <w:tcPr>
            <w:tcW w:type="dxa" w:w="3000"/>
            <w:shd w:fill="FFFFFF" w:val="clear"/>
          </w:tcPr>
          <w:p>
            <w:pPr>
              <w:spacing w:before="40" w:after="40"/>
            </w:pPr>
            <w:r>
              <w:rPr>
                <w:rFonts w:ascii="Work Sans" w:cs="Work Sans" w:eastAsia="Work Sans" w:hAnsi="Work Sans"/>
                <w:color w:val="0A1628"/>
                <w:sz w:val="18"/>
                <w:szCs w:val="18"/>
              </w:rPr>
              <w:t xml:space="preserve">Market Orientation</w:t>
            </w:r>
          </w:p>
        </w:tc>
        <w:tc>
          <w:tcPr>
            <w:tcW w:type="dxa" w:w="3000"/>
            <w:shd w:fill="FFFFFF" w:val="clear"/>
          </w:tcPr>
          <w:p>
            <w:pPr>
              <w:spacing w:before="40" w:after="40"/>
            </w:pPr>
            <w:r>
              <w:rPr>
                <w:rFonts w:ascii="Space Mono" w:cs="Space Mono" w:eastAsia="Space Mono" w:hAnsi="Space Mono"/>
                <w:color w:val="0A1628"/>
                <w:sz w:val="18"/>
                <w:szCs w:val="18"/>
              </w:rPr>
              <w:t xml:space="preserve">6.2 / 10</w:t>
            </w:r>
          </w:p>
        </w:tc>
        <w:tc>
          <w:tcPr>
            <w:tcW w:type="dxa" w:w="3000"/>
            <w:shd w:fill="FFFFFF" w:val="clear"/>
          </w:tcPr>
          <w:p>
            <w:pPr>
              <w:spacing w:before="40" w:after="40"/>
            </w:pPr>
            <w:r>
              <w:rPr>
                <w:rFonts w:ascii="Space Mono" w:cs="Space Mono" w:eastAsia="Space Mono" w:hAnsi="Space Mono"/>
                <w:color w:val="0A1628"/>
                <w:sz w:val="18"/>
                <w:szCs w:val="18"/>
              </w:rPr>
              <w:t xml:space="preserve">Developing</w:t>
            </w:r>
          </w:p>
        </w:tc>
      </w:tr>
      <w:tr>
        <w:tc>
          <w:tcPr>
            <w:tcW w:type="dxa" w:w="3000"/>
            <w:shd w:fill="F0F3F6" w:val="clear"/>
          </w:tcPr>
          <w:p>
            <w:pPr>
              <w:spacing w:before="40" w:after="40"/>
            </w:pPr>
            <w:r>
              <w:rPr>
                <w:rFonts w:ascii="Work Sans" w:cs="Work Sans" w:eastAsia="Work Sans" w:hAnsi="Work Sans"/>
                <w:color w:val="0A1628"/>
                <w:sz w:val="18"/>
                <w:szCs w:val="18"/>
              </w:rPr>
              <w:t xml:space="preserve">Competitive Positioning</w:t>
            </w:r>
          </w:p>
        </w:tc>
        <w:tc>
          <w:tcPr>
            <w:tcW w:type="dxa" w:w="3000"/>
            <w:shd w:fill="F0F3F6" w:val="clear"/>
          </w:tcPr>
          <w:p>
            <w:pPr>
              <w:spacing w:before="40" w:after="40"/>
            </w:pPr>
            <w:r>
              <w:rPr>
                <w:rFonts w:ascii="Space Mono" w:cs="Space Mono" w:eastAsia="Space Mono" w:hAnsi="Space Mono"/>
                <w:color w:val="0A1628"/>
                <w:sz w:val="18"/>
                <w:szCs w:val="18"/>
              </w:rPr>
              <w:t xml:space="preserve">5.8 / 10</w:t>
            </w:r>
          </w:p>
        </w:tc>
        <w:tc>
          <w:tcPr>
            <w:tcW w:type="dxa" w:w="3000"/>
            <w:shd w:fill="F0F3F6" w:val="clear"/>
          </w:tcPr>
          <w:p>
            <w:pPr>
              <w:spacing w:before="40" w:after="40"/>
            </w:pPr>
            <w:r>
              <w:rPr>
                <w:rFonts w:ascii="Space Mono" w:cs="Space Mono" w:eastAsia="Space Mono" w:hAnsi="Space Mono"/>
                <w:color w:val="0A1628"/>
                <w:sz w:val="18"/>
                <w:szCs w:val="18"/>
              </w:rPr>
              <w:t xml:space="preserve">Developing</w:t>
            </w:r>
          </w:p>
        </w:tc>
      </w:tr>
      <w:tr>
        <w:tc>
          <w:tcPr>
            <w:tcW w:type="dxa" w:w="3000"/>
            <w:shd w:fill="FFFFFF" w:val="clear"/>
          </w:tcPr>
          <w:p>
            <w:pPr>
              <w:spacing w:before="40" w:after="40"/>
            </w:pPr>
            <w:r>
              <w:rPr>
                <w:rFonts w:ascii="Work Sans" w:cs="Work Sans" w:eastAsia="Work Sans" w:hAnsi="Work Sans"/>
                <w:color w:val="0A1628"/>
                <w:sz w:val="18"/>
                <w:szCs w:val="18"/>
              </w:rPr>
              <w:t xml:space="preserve">Resource Alignment</w:t>
            </w:r>
          </w:p>
        </w:tc>
        <w:tc>
          <w:tcPr>
            <w:tcW w:type="dxa" w:w="3000"/>
            <w:shd w:fill="FFFFFF" w:val="clear"/>
          </w:tcPr>
          <w:p>
            <w:pPr>
              <w:spacing w:before="40" w:after="40"/>
            </w:pPr>
            <w:r>
              <w:rPr>
                <w:rFonts w:ascii="Space Mono" w:cs="Space Mono" w:eastAsia="Space Mono" w:hAnsi="Space Mono"/>
                <w:color w:val="0A1628"/>
                <w:sz w:val="18"/>
                <w:szCs w:val="18"/>
              </w:rPr>
              <w:t xml:space="preserve">8.0 / 10</w:t>
            </w:r>
          </w:p>
        </w:tc>
        <w:tc>
          <w:tcPr>
            <w:tcW w:type="dxa" w:w="3000"/>
            <w:shd w:fill="FFFFFF" w:val="clear"/>
          </w:tcPr>
          <w:p>
            <w:pPr>
              <w:spacing w:before="40" w:after="40"/>
            </w:pPr>
            <w:r>
              <w:rPr>
                <w:rFonts w:ascii="Space Mono" w:cs="Space Mono" w:eastAsia="Space Mono" w:hAnsi="Space Mono"/>
                <w:color w:val="0A1628"/>
                <w:sz w:val="18"/>
                <w:szCs w:val="18"/>
              </w:rPr>
              <w:t xml:space="preserve">Strong</w:t>
            </w:r>
          </w:p>
        </w:tc>
      </w:tr>
      <w:tr>
        <w:tc>
          <w:tcPr>
            <w:tcW w:type="dxa" w:w="3000"/>
            <w:shd w:fill="F0F3F6" w:val="clear"/>
          </w:tcPr>
          <w:p>
            <w:pPr>
              <w:spacing w:before="40" w:after="40"/>
            </w:pPr>
            <w:r>
              <w:rPr>
                <w:rFonts w:ascii="Work Sans" w:cs="Work Sans" w:eastAsia="Work Sans" w:hAnsi="Work Sans"/>
                <w:color w:val="0A1628"/>
                <w:sz w:val="18"/>
                <w:szCs w:val="18"/>
              </w:rPr>
              <w:t xml:space="preserve">Execution Readiness</w:t>
            </w:r>
          </w:p>
        </w:tc>
        <w:tc>
          <w:tcPr>
            <w:tcW w:type="dxa" w:w="3000"/>
            <w:shd w:fill="F0F3F6" w:val="clear"/>
          </w:tcPr>
          <w:p>
            <w:pPr>
              <w:spacing w:before="40" w:after="40"/>
            </w:pPr>
            <w:r>
              <w:rPr>
                <w:rFonts w:ascii="Space Mono" w:cs="Space Mono" w:eastAsia="Space Mono" w:hAnsi="Space Mono"/>
                <w:color w:val="0A1628"/>
                <w:sz w:val="18"/>
                <w:szCs w:val="18"/>
              </w:rPr>
              <w:t xml:space="preserve">6.5 / 10</w:t>
            </w:r>
          </w:p>
        </w:tc>
        <w:tc>
          <w:tcPr>
            <w:tcW w:type="dxa" w:w="3000"/>
            <w:shd w:fill="F0F3F6" w:val="clear"/>
          </w:tcPr>
          <w:p>
            <w:pPr>
              <w:spacing w:before="40" w:after="40"/>
            </w:pPr>
            <w:r>
              <w:rPr>
                <w:rFonts w:ascii="Space Mono" w:cs="Space Mono" w:eastAsia="Space Mono" w:hAnsi="Space Mono"/>
                <w:color w:val="0A1628"/>
                <w:sz w:val="18"/>
                <w:szCs w:val="18"/>
              </w:rPr>
              <w:t xml:space="preserve">Developing</w:t>
            </w:r>
          </w:p>
        </w:tc>
      </w:tr>
      <w:tr>
        <w:tc>
          <w:tcPr>
            <w:tcW w:type="dxa" w:w="3000"/>
            <w:shd w:fill="FFFFFF" w:val="clear"/>
          </w:tcPr>
          <w:p>
            <w:pPr>
              <w:spacing w:before="40" w:after="40"/>
            </w:pPr>
            <w:r>
              <w:rPr>
                <w:rFonts w:ascii="Work Sans" w:cs="Work Sans" w:eastAsia="Work Sans" w:hAnsi="Work Sans"/>
                <w:color w:val="0A1628"/>
                <w:sz w:val="18"/>
                <w:szCs w:val="18"/>
              </w:rPr>
              <w:t xml:space="preserve">Governance Clarity</w:t>
            </w:r>
          </w:p>
        </w:tc>
        <w:tc>
          <w:tcPr>
            <w:tcW w:type="dxa" w:w="3000"/>
            <w:shd w:fill="FFFFFF" w:val="clear"/>
          </w:tcPr>
          <w:p>
            <w:pPr>
              <w:spacing w:before="40" w:after="40"/>
            </w:pPr>
            <w:r>
              <w:rPr>
                <w:rFonts w:ascii="Space Mono" w:cs="Space Mono" w:eastAsia="Space Mono" w:hAnsi="Space Mono"/>
                <w:color w:val="0A1628"/>
                <w:sz w:val="18"/>
                <w:szCs w:val="18"/>
              </w:rPr>
              <w:t xml:space="preserve">7.0 / 10</w:t>
            </w:r>
          </w:p>
        </w:tc>
        <w:tc>
          <w:tcPr>
            <w:tcW w:type="dxa" w:w="3000"/>
            <w:shd w:fill="FFFFFF" w:val="clear"/>
          </w:tcPr>
          <w:p>
            <w:pPr>
              <w:spacing w:before="40" w:after="40"/>
            </w:pPr>
            <w:r>
              <w:rPr>
                <w:rFonts w:ascii="Space Mono" w:cs="Space Mono" w:eastAsia="Space Mono" w:hAnsi="Space Mono"/>
                <w:color w:val="0A1628"/>
                <w:sz w:val="18"/>
                <w:szCs w:val="18"/>
              </w:rPr>
              <w:t xml:space="preserve">Good</w:t>
            </w:r>
          </w:p>
        </w:tc>
      </w:tr>
    </w:tbl>
    <w:p>
      <w:pPr>
        <w:spacing w:before="80" w:after="240"/>
      </w:pPr>
      <w:r>
        <w:rPr>
          <w:rFonts w:ascii="Space Mono" w:cs="Space Mono" w:eastAsia="Space Mono" w:hAnsi="Space Mono"/>
          <w:i/>
          <w:iCs/>
          <w:color w:val="8B949E"/>
          <w:sz w:val="16"/>
          <w:szCs w:val="16"/>
        </w:rPr>
        <w:t xml:space="preserve">Source: Strategic Popoltastic Baseline Assessment, March 2026</w:t>
      </w:r>
    </w:p>
    <w:p>
      <w:pPr>
        <w:pStyle w:val="Heading1"/>
      </w:pPr>
      <w:r>
        <w:t xml:space="preserve">Key Findings</w:t>
      </w:r>
    </w:p>
    <w:p>
      <w:pPr>
        <w:pStyle w:val="Heading2"/>
      </w:pPr>
      <w:r>
        <w:t xml:space="preserve">Strengths</w:t>
      </w:r>
    </w:p>
    <w:p>
      <w:pPr>
        <w:spacing w:after="200"/>
      </w:pPr>
      <w:r>
        <w:rPr>
          <w:rFonts w:ascii="Work Sans" w:cs="Work Sans" w:eastAsia="Work Sans" w:hAnsi="Work Sans"/>
          <w:color w:val="0A1628"/>
          <w:sz w:val="22"/>
          <w:szCs w:val="22"/>
        </w:rPr>
        <w:t xml:space="preserve">The organisation shows strong internal analysis capabilities and a well-articulated cultural foundation that provides a solid base for strategic development.</w:t>
      </w:r>
    </w:p>
    <w:p>
      <w:pPr>
        <w:pStyle w:val="Heading2"/>
      </w:pPr>
      <w:r>
        <w:t xml:space="preserve">Opportunities</w:t>
      </w:r>
    </w:p>
    <w:p>
      <w:pPr>
        <w:pBdr>
          <w:left w:val="single" w:color="2EA043" w:sz="12" w:space="12"/>
        </w:pBdr>
        <w:shd w:fill="DAFBE1" w:val="clear"/>
        <w:spacing w:before="120" w:after="120"/>
        <w:ind w:left="360"/>
      </w:pPr>
      <w:r>
        <w:rPr>
          <w:rFonts w:ascii="Work Sans" w:cs="Work Sans" w:eastAsia="Work Sans" w:hAnsi="Work Sans"/>
          <w:color w:val="0A1628"/>
          <w:sz w:val="20"/>
          <w:szCs w:val="20"/>
        </w:rPr>
        <w:t xml:space="preserve">Priority: Create a unified strategic narrative that connects the company's cultural strengths to market positioning and competitive differentiation.</w:t>
      </w:r>
    </w:p>
    <w:p>
      <w:pPr>
        <w:spacing w:after="200"/>
      </w:pPr>
      <w:r>
        <w:rPr>
          <w:rFonts w:ascii="Work Sans" w:cs="Work Sans" w:eastAsia="Work Sans" w:hAnsi="Work Sans"/>
          <w:color w:val="0A1628"/>
          <w:sz w:val="22"/>
          <w:szCs w:val="22"/>
        </w:rPr>
        <w:t xml:space="preserve">The Rule of Three framework identifies three must-win battles that, if addressed, will significantly strengthen the strategic position and create sustainable competitive advantage.</w:t>
      </w:r>
    </w:p>
    <w:p>
      <w:pPr>
        <w:pStyle w:val="Heading1"/>
      </w:pPr>
      <w:r>
        <w:t xml:space="preserve">Recommendations</w:t>
      </w:r>
    </w:p>
    <w:p>
      <w:pPr>
        <w:spacing w:after="200"/>
      </w:pPr>
      <w:r>
        <w:rPr>
          <w:rFonts w:ascii="Work Sans" w:cs="Work Sans" w:eastAsia="Work Sans" w:hAnsi="Work Sans"/>
          <w:color w:val="0A1628"/>
          <w:sz w:val="22"/>
          <w:szCs w:val="22"/>
        </w:rPr>
        <w:t xml:space="preserve">Based on the assessment findings, we recommend a phased approach to strengthening the strategic documentation and execution framework.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shd w:fill="1B3A5C" w:val="clear"/>
          </w:tcPr>
          <w:p>
            <w:pPr>
              <w:spacing w:before="60" w:after="60"/>
            </w:pPr>
            <w:r>
              <w:rPr>
                <w:rFonts w:ascii="Work Sans" w:cs="Work Sans" w:eastAsia="Work Sans" w:hAnsi="Work Sans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3000"/>
            <w:shd w:fill="1B3A5C" w:val="clear"/>
          </w:tcPr>
          <w:p>
            <w:pPr>
              <w:spacing w:before="60" w:after="60"/>
            </w:pPr>
            <w:r>
              <w:rPr>
                <w:rFonts w:ascii="Work Sans" w:cs="Work Sans" w:eastAsia="Work Sans" w:hAnsi="Work Sans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3000"/>
            <w:shd w:fill="1B3A5C" w:val="clear"/>
          </w:tcPr>
          <w:p>
            <w:pPr>
              <w:spacing w:before="60" w:after="60"/>
            </w:pPr>
            <w:r>
              <w:rPr>
                <w:rFonts w:ascii="Work Sans" w:cs="Work Sans" w:eastAsia="Work Sans" w:hAnsi="Work Sans"/>
                <w:b/>
                <w:bCs/>
                <w:color w:val="FFFFFF"/>
                <w:sz w:val="18"/>
                <w:szCs w:val="18"/>
              </w:rPr>
              <w:t xml:space="preserve">Timeline</w:t>
            </w:r>
          </w:p>
        </w:tc>
      </w:tr>
      <w:tr>
        <w:tc>
          <w:tcPr>
            <w:tcW w:type="dxa" w:w="3000"/>
            <w:shd w:fill="F0F3F6" w:val="clear"/>
          </w:tcPr>
          <w:p>
            <w:pPr>
              <w:spacing w:before="40" w:after="40"/>
            </w:pPr>
            <w:r>
              <w:rPr>
                <w:rFonts w:ascii="Work Sans" w:cs="Work Sans" w:eastAsia="Work Sans" w:hAnsi="Work Sans"/>
                <w:color w:val="0A1628"/>
                <w:sz w:val="18"/>
                <w:szCs w:val="18"/>
              </w:rPr>
              <w:t xml:space="preserve">Phase 1</w:t>
            </w:r>
          </w:p>
        </w:tc>
        <w:tc>
          <w:tcPr>
            <w:tcW w:type="dxa" w:w="3000"/>
            <w:shd w:fill="F0F3F6" w:val="clear"/>
          </w:tcPr>
          <w:p>
            <w:pPr>
              <w:spacing w:before="40" w:after="40"/>
            </w:pPr>
            <w:r>
              <w:rPr>
                <w:rFonts w:ascii="Space Mono" w:cs="Space Mono" w:eastAsia="Space Mono" w:hAnsi="Space Mono"/>
                <w:color w:val="0A1628"/>
                <w:sz w:val="18"/>
                <w:szCs w:val="18"/>
              </w:rPr>
              <w:t xml:space="preserve">Consolidate existing documentation into unified strategy</w:t>
            </w:r>
          </w:p>
        </w:tc>
        <w:tc>
          <w:tcPr>
            <w:tcW w:type="dxa" w:w="3000"/>
            <w:shd w:fill="F0F3F6" w:val="clear"/>
          </w:tcPr>
          <w:p>
            <w:pPr>
              <w:spacing w:before="40" w:after="40"/>
            </w:pPr>
            <w:r>
              <w:rPr>
                <w:rFonts w:ascii="Space Mono" w:cs="Space Mono" w:eastAsia="Space Mono" w:hAnsi="Space Mono"/>
                <w:color w:val="0A1628"/>
                <w:sz w:val="18"/>
                <w:szCs w:val="18"/>
              </w:rPr>
              <w:t xml:space="preserve">Week 1-4</w:t>
            </w:r>
          </w:p>
        </w:tc>
      </w:tr>
      <w:tr>
        <w:tc>
          <w:tcPr>
            <w:tcW w:type="dxa" w:w="3000"/>
            <w:shd w:fill="FFFFFF" w:val="clear"/>
          </w:tcPr>
          <w:p>
            <w:pPr>
              <w:spacing w:before="40" w:after="40"/>
            </w:pPr>
            <w:r>
              <w:rPr>
                <w:rFonts w:ascii="Work Sans" w:cs="Work Sans" w:eastAsia="Work Sans" w:hAnsi="Work Sans"/>
                <w:color w:val="0A1628"/>
                <w:sz w:val="18"/>
                <w:szCs w:val="18"/>
              </w:rPr>
              <w:t xml:space="preserve">Phase 2</w:t>
            </w:r>
          </w:p>
        </w:tc>
        <w:tc>
          <w:tcPr>
            <w:tcW w:type="dxa" w:w="3000"/>
            <w:shd w:fill="FFFFFF" w:val="clear"/>
          </w:tcPr>
          <w:p>
            <w:pPr>
              <w:spacing w:before="40" w:after="40"/>
            </w:pPr>
            <w:r>
              <w:rPr>
                <w:rFonts w:ascii="Space Mono" w:cs="Space Mono" w:eastAsia="Space Mono" w:hAnsi="Space Mono"/>
                <w:color w:val="0A1628"/>
                <w:sz w:val="18"/>
                <w:szCs w:val="18"/>
              </w:rPr>
              <w:t xml:space="preserve">Define must-win battles and competitive positioning</w:t>
            </w:r>
          </w:p>
        </w:tc>
        <w:tc>
          <w:tcPr>
            <w:tcW w:type="dxa" w:w="3000"/>
            <w:shd w:fill="FFFFFF" w:val="clear"/>
          </w:tcPr>
          <w:p>
            <w:pPr>
              <w:spacing w:before="40" w:after="40"/>
            </w:pPr>
            <w:r>
              <w:rPr>
                <w:rFonts w:ascii="Space Mono" w:cs="Space Mono" w:eastAsia="Space Mono" w:hAnsi="Space Mono"/>
                <w:color w:val="0A1628"/>
                <w:sz w:val="18"/>
                <w:szCs w:val="18"/>
              </w:rPr>
              <w:t xml:space="preserve">Week 5-8</w:t>
            </w:r>
          </w:p>
        </w:tc>
      </w:tr>
      <w:tr>
        <w:tc>
          <w:tcPr>
            <w:tcW w:type="dxa" w:w="3000"/>
            <w:shd w:fill="F0F3F6" w:val="clear"/>
          </w:tcPr>
          <w:p>
            <w:pPr>
              <w:spacing w:before="40" w:after="40"/>
            </w:pPr>
            <w:r>
              <w:rPr>
                <w:rFonts w:ascii="Work Sans" w:cs="Work Sans" w:eastAsia="Work Sans" w:hAnsi="Work Sans"/>
                <w:color w:val="0A1628"/>
                <w:sz w:val="18"/>
                <w:szCs w:val="18"/>
              </w:rPr>
              <w:t xml:space="preserve">Phase 3</w:t>
            </w:r>
          </w:p>
        </w:tc>
        <w:tc>
          <w:tcPr>
            <w:tcW w:type="dxa" w:w="3000"/>
            <w:shd w:fill="F0F3F6" w:val="clear"/>
          </w:tcPr>
          <w:p>
            <w:pPr>
              <w:spacing w:before="40" w:after="40"/>
            </w:pPr>
            <w:r>
              <w:rPr>
                <w:rFonts w:ascii="Space Mono" w:cs="Space Mono" w:eastAsia="Space Mono" w:hAnsi="Space Mono"/>
                <w:color w:val="0A1628"/>
                <w:sz w:val="18"/>
                <w:szCs w:val="18"/>
              </w:rPr>
              <w:t xml:space="preserve">Build implementation roadmap with KPIs</w:t>
            </w:r>
          </w:p>
        </w:tc>
        <w:tc>
          <w:tcPr>
            <w:tcW w:type="dxa" w:w="3000"/>
            <w:shd w:fill="F0F3F6" w:val="clear"/>
          </w:tcPr>
          <w:p>
            <w:pPr>
              <w:spacing w:before="40" w:after="40"/>
            </w:pPr>
            <w:r>
              <w:rPr>
                <w:rFonts w:ascii="Space Mono" w:cs="Space Mono" w:eastAsia="Space Mono" w:hAnsi="Space Mono"/>
                <w:color w:val="0A1628"/>
                <w:sz w:val="18"/>
                <w:szCs w:val="18"/>
              </w:rPr>
              <w:t xml:space="preserve">Week 9-12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Next Steps</w:t>
      </w:r>
    </w:p>
    <w:p>
      <w:pPr>
        <w:spacing w:after="200"/>
      </w:pPr>
      <w:r>
        <w:rPr>
          <w:rFonts w:ascii="Work Sans" w:cs="Work Sans" w:eastAsia="Work Sans" w:hAnsi="Work Sans"/>
          <w:color w:val="0A1628"/>
          <w:sz w:val="22"/>
          <w:szCs w:val="22"/>
        </w:rPr>
        <w:t xml:space="preserve">We recommend scheduling a stakeholder workshop within the next two weeks to validate findings and align on strategic priorities before proceeding to Phase 2.</w:t>
      </w:r>
    </w:p>
    <w:p>
      <w:r>
        <w:rPr>
          <w:rFonts w:ascii="Work Sans" w:cs="Work Sans" w:eastAsia="Work Sans" w:hAnsi="Work Sans"/>
          <w:color w:val="0A1628"/>
          <w:sz w:val="22"/>
          <w:szCs w:val="22"/>
        </w:rPr>
        <w:t xml:space="preserve">For questions or to schedule the workshop, contact: </w:t>
      </w:r>
      <w:r>
        <w:rPr>
          <w:rFonts w:ascii="Space Mono" w:cs="Space Mono" w:eastAsia="Space Mono" w:hAnsi="Space Mono"/>
          <w:color w:val="6B90B8"/>
          <w:sz w:val="20"/>
          <w:szCs w:val="20"/>
        </w:rPr>
        <w:t xml:space="preserve">hello@strategicpopoltastic.com</w:t>
      </w:r>
    </w:p>
    <w:sectPr>
      <w:headerReference w:type="default" r:id="rId8"/>
      <w:footerReference w:type="default" r:id="rId9"/>
      <w:type w:val="continuous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5C" w:sz="4" w:space="6"/>
      </w:pBdr>
      <w:tabs>
        <w:tab w:val="right" w:pos="9026"/>
      </w:tabs>
    </w:pPr>
    <w:r>
      <w:rPr>
        <w:rFonts w:ascii="Space Mono" w:cs="Space Mono" w:eastAsia="Space Mono" w:hAnsi="Space Mono"/>
        <w:color w:val="8B949E"/>
        <w:sz w:val="14"/>
        <w:szCs w:val="14"/>
      </w:rPr>
      <w:t xml:space="preserve">© 2026 Strategic Popoltastic</w:t>
    </w:r>
    <w:r>
      <w:tab/>
    </w:r>
    <w:r>
      <w:rPr>
        <w:rFonts w:ascii="Space Mono" w:cs="Space Mono" w:eastAsia="Space Mono" w:hAnsi="Space Mono"/>
        <w:color w:val="8B949E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5C" w:sz="4" w:space="6"/>
      </w:pBdr>
      <w:tabs>
        <w:tab w:val="right" w:pos="9026"/>
      </w:tabs>
    </w:pPr>
    <w:r>
      <w:rPr>
        <w:rFonts w:ascii="Space Mono" w:cs="Space Mono" w:eastAsia="Space Mono" w:hAnsi="Space Mono"/>
        <w:color w:val="8B949E"/>
        <w:sz w:val="14"/>
        <w:szCs w:val="14"/>
      </w:rPr>
      <w:t xml:space="preserve">© 2026 Strategic Popoltastic</w:t>
    </w:r>
    <w:r>
      <w:tab/>
    </w:r>
    <w:r>
      <w:rPr>
        <w:rFonts w:ascii="Space Mono" w:cs="Space Mono" w:eastAsia="Space Mono" w:hAnsi="Space Mono"/>
        <w:color w:val="8B949E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6EDF3" w:sz="2" w:space="6"/>
      </w:pBdr>
      <w:spacing w:after="200"/>
    </w:pPr>
    <w:r>
      <w:rPr>
        <w:rFonts w:ascii="Work Sans" w:cs="Work Sans" w:eastAsia="Work Sans" w:hAnsi="Work Sans"/>
        <w:color w:val="8B949E"/>
        <w:sz w:val="16"/>
        <w:szCs w:val="16"/>
      </w:rPr>
      <w:t xml:space="preserve">Strategic Popoltastic</w:t>
    </w:r>
    <w:r>
      <w:rPr>
        <w:sz w:val="16"/>
        <w:szCs w:val="16"/>
      </w:rPr>
      <w:t xml:space="preserve">  </w:t>
    </w:r>
    <w:r>
      <w:rPr>
        <w:rFonts w:ascii="Work Sans" w:cs="Work Sans" w:eastAsia="Work Sans" w:hAnsi="Work Sans"/>
        <w:color w:val="7FB3D3"/>
        <w:sz w:val="16"/>
        <w:szCs w:val="16"/>
      </w:rPr>
      <w:t xml:space="preserve">/</w:t>
    </w:r>
    <w:r>
      <w:rPr>
        <w:sz w:val="16"/>
        <w:szCs w:val="16"/>
      </w:rPr>
      <w:t xml:space="preserve">  </w:t>
    </w:r>
    <w:r>
      <w:rPr>
        <w:rFonts w:ascii="Space Mono" w:cs="Space Mono" w:eastAsia="Space Mono" w:hAnsi="Space Mono"/>
        <w:color w:val="8B949E"/>
        <w:sz w:val="14"/>
        <w:szCs w:val="14"/>
      </w:rPr>
      <w:t xml:space="preserve">Confidential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6EDF3" w:sz="2" w:space="6"/>
      </w:pBdr>
      <w:spacing w:after="200"/>
    </w:pPr>
    <w:r>
      <w:rPr>
        <w:rFonts w:ascii="Work Sans" w:cs="Work Sans" w:eastAsia="Work Sans" w:hAnsi="Work Sans"/>
        <w:color w:val="8B949E"/>
        <w:sz w:val="16"/>
        <w:szCs w:val="16"/>
      </w:rPr>
      <w:t xml:space="preserve">Strategic Popoltastic</w:t>
    </w:r>
    <w:r>
      <w:rPr>
        <w:sz w:val="16"/>
        <w:szCs w:val="16"/>
      </w:rPr>
      <w:t xml:space="preserve">  </w:t>
    </w:r>
    <w:r>
      <w:rPr>
        <w:rFonts w:ascii="Work Sans" w:cs="Work Sans" w:eastAsia="Work Sans" w:hAnsi="Work Sans"/>
        <w:color w:val="7FB3D3"/>
        <w:sz w:val="16"/>
        <w:szCs w:val="16"/>
      </w:rPr>
      <w:t xml:space="preserve">/</w:t>
    </w:r>
    <w:r>
      <w:rPr>
        <w:sz w:val="16"/>
        <w:szCs w:val="16"/>
      </w:rPr>
      <w:t xml:space="preserve">  </w:t>
    </w:r>
    <w:r>
      <w:rPr>
        <w:rFonts w:ascii="Space Mono" w:cs="Space Mono" w:eastAsia="Space Mono" w:hAnsi="Space Mono"/>
        <w:color w:val="8B949E"/>
        <w:sz w:val="14"/>
        <w:szCs w:val="14"/>
      </w:rPr>
      <w:t xml:space="preserve">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Work Sans" w:cs="Work Sans" w:eastAsia="Work Sans" w:hAnsi="Work Sans"/>
        <w:color w:val="0A1628"/>
        <w:sz w:val="22"/>
        <w:szCs w:val="22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pBdr>
        <w:bottom w:val="single" w:color="1B3A5C" w:sz="6" w:space="6"/>
      </w:pBdr>
      <w:spacing w:before="360" w:after="120"/>
      <w:outlineLvl w:val="0"/>
    </w:pPr>
    <w:rPr>
      <w:rFonts w:ascii="Syne" w:cs="Syne" w:eastAsia="Syne" w:hAnsi="Syne"/>
      <w:b/>
      <w:bCs/>
      <w:color w:val="0A1628"/>
      <w:sz w:val="40"/>
      <w:szCs w:val="40"/>
    </w:rPr>
  </w:style>
  <w:style w:type="paragraph" w:styleId="Heading2">
    <w:name w:val="Heading 2"/>
    <w:basedOn w:val="Normal"/>
    <w:next w:val="Normal"/>
    <w:pPr>
      <w:spacing w:before="280" w:after="80"/>
      <w:outlineLvl w:val="1"/>
    </w:pPr>
    <w:rPr>
      <w:rFonts w:ascii="Syne" w:cs="Syne" w:eastAsia="Syne" w:hAnsi="Syne"/>
      <w:b/>
      <w:bCs/>
      <w:color w:val="1B3A5C"/>
      <w:sz w:val="28"/>
      <w:szCs w:val="28"/>
    </w:rPr>
  </w:style>
  <w:style w:type="paragraph" w:styleId="Heading3">
    <w:name w:val="Heading 3"/>
    <w:basedOn w:val="Normal"/>
    <w:next w:val="Normal"/>
    <w:pPr>
      <w:spacing w:before="200" w:after="60"/>
      <w:outlineLvl w:val="2"/>
    </w:pPr>
    <w:rPr>
      <w:rFonts w:ascii="Work Sans" w:cs="Work Sans" w:eastAsia="Work Sans" w:hAnsi="Work Sans"/>
      <w:b/>
      <w:bCs/>
      <w:color w:val="0A162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header" Target="header2.xml"/><Relationship Id="rId9" Type="http://schemas.openxmlformats.org/officeDocument/2006/relationships/footer" Target="footer2.xml"/><Relationship Id="rId10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2026-03-28T10:53:15.147Z</dcterms:created>
  <dcterms:modified xsi:type="dcterms:W3CDTF">2026-03-28T10:53:15.148Z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