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Title — Manrope sample</w:t>
      </w:r>
    </w:p>
    <w:p>
      <w:pPr>
        <w:pStyle w:val="Heading1"/>
      </w:pPr>
      <w:r>
        <w:t xml:space="preserve">Heading1 — Manrope sample</w:t>
      </w:r>
    </w:p>
    <w:p>
      <w:pPr>
        <w:pStyle w:val="Heading2"/>
      </w:pPr>
      <w:r>
        <w:t xml:space="preserve">Heading2 — Manrope sample</w:t>
      </w:r>
    </w:p>
    <w:p>
      <w:pPr>
        <w:pStyle w:val="Heading3"/>
      </w:pPr>
      <w:r>
        <w:t xml:space="preserve">Heading3 — Manrope sample</w:t>
      </w:r>
    </w:p>
    <w:p>
      <w:pPr>
        <w:pStyle w:val="BodyText"/>
      </w:pPr>
      <w:r>
        <w:t xml:space="preserve">BodyText — Manrope sample</w:t>
      </w:r>
    </w:p>
    <w:p>
      <w:pPr>
        <w:pStyle w:val="BodyTextBold"/>
      </w:pPr>
      <w:r>
        <w:t xml:space="preserve">BodyTextBold — Manrope sample</w:t>
      </w:r>
    </w:p>
    <w:p>
      <w:pPr>
        <w:pStyle w:val="Quote"/>
      </w:pPr>
      <w:r>
        <w:t xml:space="preserve">Quote — Manrope sample</w:t>
      </w:r>
    </w:p>
    <w:p>
      <w:pPr>
        <w:pStyle w:val="Code"/>
      </w:pPr>
      <w:r>
        <w:t xml:space="preserve">Code — Manrope sample</w:t>
      </w:r>
    </w:p>
    <w:p>
      <w:pPr>
        <w:pStyle w:val="Caption"/>
      </w:pPr>
      <w:r>
        <w:t xml:space="preserve">Caption — Manrope sample</w:t>
      </w:r>
    </w:p>
    <w:p>
      <w:pPr>
        <w:pStyle w:val="FooterText"/>
      </w:pPr>
      <w:r>
        <w:t xml:space="preserve">FooterText — Manrope sample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qFormat/>
    <w:pPr>
      <w:spacing w:after="360"/>
    </w:pPr>
    <w:rPr>
      <w:rFonts w:ascii="Manrope" w:cs="Manrope" w:eastAsia="Manrope" w:hAnsi="Manrope"/>
      <w:b/>
      <w:bCs/>
      <w:color w:val="2C74BC"/>
      <w:sz w:val="56"/>
      <w:szCs w:val="56"/>
    </w:rPr>
  </w:style>
  <w:style w:type="paragraph" w:styleId="Heading1">
    <w:name w:val="Heading1"/>
    <w:basedOn w:val="Title"/>
    <w:qFormat/>
    <w:pPr>
      <w:spacing w:after="160" w:before="360"/>
    </w:pPr>
    <w:rPr>
      <w:rFonts w:ascii="Manrope" w:cs="Manrope" w:eastAsia="Manrope" w:hAnsi="Manrope"/>
      <w:b/>
      <w:bCs/>
      <w:color w:val="2C74BC"/>
      <w:sz w:val="40"/>
      <w:szCs w:val="40"/>
    </w:rPr>
  </w:style>
  <w:style w:type="paragraph" w:styleId="Heading2">
    <w:name w:val="Heading2"/>
    <w:qFormat/>
    <w:pPr>
      <w:spacing w:after="120" w:before="280"/>
    </w:pPr>
    <w:rPr>
      <w:rFonts w:ascii="Manrope" w:cs="Manrope" w:eastAsia="Manrope" w:hAnsi="Manrope"/>
      <w:b/>
      <w:bCs/>
      <w:color w:val="2C74BC"/>
      <w:sz w:val="32"/>
      <w:szCs w:val="32"/>
    </w:rPr>
  </w:style>
  <w:style w:type="paragraph" w:styleId="Heading3">
    <w:name w:val="Heading3"/>
    <w:qFormat/>
    <w:pPr>
      <w:spacing w:after="80" w:before="200"/>
    </w:pPr>
    <w:rPr>
      <w:rFonts w:ascii="Manrope" w:cs="Manrope" w:eastAsia="Manrope" w:hAnsi="Manrope"/>
      <w:b/>
      <w:bCs/>
      <w:color w:val="142C4C"/>
      <w:sz w:val="26"/>
      <w:szCs w:val="26"/>
    </w:rPr>
  </w:style>
  <w:style w:type="paragraph" w:styleId="BodyText">
    <w:name w:val="BodyText"/>
    <w:qFormat/>
    <w:pPr>
      <w:spacing w:after="160" w:line="336" w:lineRule="auto"/>
    </w:pPr>
    <w:rPr>
      <w:rFonts w:ascii="Manrope" w:cs="Manrope" w:eastAsia="Manrope" w:hAnsi="Manrope"/>
      <w:b w:val="false"/>
      <w:bCs w:val="false"/>
      <w:color w:val="142C4C"/>
      <w:sz w:val="22"/>
      <w:szCs w:val="22"/>
    </w:rPr>
  </w:style>
  <w:style w:type="paragraph" w:styleId="BodyTextBold">
    <w:name w:val="BodyTextBold"/>
    <w:basedOn w:val="BodyText"/>
    <w:qFormat/>
    <w:rPr>
      <w:b/>
      <w:bCs/>
    </w:rPr>
  </w:style>
  <w:style w:type="paragraph" w:styleId="Quote">
    <w:name w:val="Quote"/>
    <w:basedOn w:val="BodyText"/>
    <w:qFormat/>
    <w:pPr>
      <w:pBdr>
        <w:left w:val="single" w:color="C4DAF3" w:sz="24" w:space="12"/>
      </w:pBdr>
      <w:ind w:left="566"/>
    </w:pPr>
    <w:rPr>
      <w:i/>
      <w:iCs/>
      <w:color w:val="142C4C"/>
    </w:rPr>
  </w:style>
  <w:style w:type="paragraph" w:styleId="Code">
    <w:name w:val="Code"/>
    <w:qFormat/>
    <w:rPr>
      <w:rFonts w:ascii="Spline Sans Mono" w:cs="Spline Sans Mono" w:eastAsia="Spline Sans Mono" w:hAnsi="Spline Sans Mono"/>
      <w:b w:val="false"/>
      <w:bCs w:val="false"/>
      <w:color w:val="142C4C"/>
      <w:sz w:val="20"/>
      <w:szCs w:val="20"/>
    </w:rPr>
  </w:style>
  <w:style w:type="paragraph" w:styleId="Caption">
    <w:name w:val="Caption"/>
    <w:qFormat/>
    <w:rPr>
      <w:rFonts w:ascii="Manrope" w:cs="Manrope" w:eastAsia="Manrope" w:hAnsi="Manrope"/>
      <w:b w:val="false"/>
      <w:bCs w:val="false"/>
      <w:i/>
      <w:iCs/>
      <w:color w:val="ACACB3"/>
      <w:sz w:val="18"/>
      <w:szCs w:val="18"/>
    </w:rPr>
  </w:style>
  <w:style w:type="paragraph" w:styleId="FooterText">
    <w:name w:val="FooterText"/>
    <w:qFormat/>
    <w:rPr>
      <w:rFonts w:ascii="Manrope" w:cs="Manrope" w:eastAsia="Manrope" w:hAnsi="Manrope"/>
      <w:b w:val="false"/>
      <w:bCs w:val="false"/>
      <w:color w:val="ACACB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valumonicsrd DOCX styles</dc:title>
  <dc:creator>render-anchors.js</dc:creator>
  <dc:description>Brand-token DOCX style reference — generated by render-anchors.js (ORG-PLAN-149).</dc:description>
  <cp:lastModifiedBy>Un-named</cp:lastModifiedBy>
  <cp:revision>1</cp:revision>
  <dcterms:created xsi:type="dcterms:W3CDTF">2026-08-31T04:00:12.886Z</dcterms:created>
  <dcterms:modified xsi:type="dcterms:W3CDTF">2026-08-31T04:00:12.887Z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