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0"/>
        <w:jc w:val="center"/>
      </w:pPr>
      <w:r>
        <w:rPr>
          <w:b/>
          <w:bCs/>
          <w:sz w:val="56"/>
          <w:szCs w:val="56"/>
        </w:rPr>
        <w:t xml:space="preserve">Cesta za VWAP Trend strategií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Kompletní příběh výzkumu — od vědeckého článku k finální obchodní strategii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Projekt Strong Chicken Journal • NQ futures • 2018–2026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Psáno pro úplné začátečníky — každý pojem je vysvětlen, žádný krok není vynechán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Úvod — o čem tento dokument je</w:t>
      </w:r>
    </w:p>
    <w:p>
      <w:pPr>
        <w:spacing w:after="140"/>
        <w:jc w:val="both"/>
      </w:pPr>
      <w:r>
        <w:t xml:space="preserve">Tento dokument popisuje </w:t>
      </w:r>
      <w:r>
        <w:rPr>
          <w:b/>
          <w:bCs/>
        </w:rPr>
        <w:t xml:space="preserve">celou cestu</w:t>
      </w:r>
      <w:r>
        <w:t xml:space="preserve"> jednoho kvantitativního výzkumu: jak jsme vzali nápad z vědeckého článku, ověřili ho, rozbili ho, opravili, otestovali ze všech stran, několikrát narazili do zdi — a nakonec z něj vydestilovali obchodní strategii, která na historických datech vydělávala </w:t>
      </w:r>
      <w:r>
        <w:rPr>
          <w:b/>
          <w:bCs/>
        </w:rPr>
        <w:t xml:space="preserve">každý rok z osmi</w:t>
      </w:r>
      <w:r>
        <w:t xml:space="preserve"> a jejíž největší propad byl jen −6,4 %.</w:t>
      </w:r>
    </w:p>
    <w:p>
      <w:pPr>
        <w:spacing w:after="140"/>
        <w:jc w:val="both"/>
      </w:pPr>
      <w:r>
        <w:t xml:space="preserve">Píšeme ho tak, aby mu rozuměl </w:t>
      </w:r>
      <w:r>
        <w:rPr>
          <w:b/>
          <w:bCs/>
        </w:rPr>
        <w:t xml:space="preserve">úplný začátečník</w:t>
      </w:r>
      <w:r>
        <w:t xml:space="preserve">. Každý odborný pojem vysvětlíme hned, jak se poprvé objeví, a v kapitole 3 najdeš slovníček všech důležitých slov. Nic nezatajujeme — popisujeme </w:t>
      </w:r>
      <w:r>
        <w:rPr>
          <w:b/>
          <w:bCs/>
        </w:rPr>
        <w:t xml:space="preserve">všechny slepé uličky</w:t>
      </w:r>
      <w:r>
        <w:t xml:space="preserve">, všechny testy, které nevyšly, technické problémy, které nás zdržely, i rozhodnutí, která jsme nakonec neudělali. Právě to odlišuje poctivý výzkum od marketingu: marketing ukazuje jen vítěze, výzkum ukazuje i hřbitov nápadů, na kterém vítěz stojí.</w:t>
      </w:r>
    </w:p>
    <w:p>
      <w:pPr>
        <w:pStyle w:val="Heading1"/>
        <w:spacing w:after="160" w:before="400"/>
      </w:pPr>
      <w:r>
        <w:t xml:space="preserve">2. Jak výzkum prakticky probíhal (zákulisí)</w:t>
      </w:r>
    </w:p>
    <w:p>
      <w:pPr>
        <w:spacing w:after="140"/>
        <w:jc w:val="both"/>
      </w:pPr>
      <w:r>
        <w:t xml:space="preserve">Než se pustíme do obsahu, popíšeme „dílnu“ — protože i pracovní postup je součást příběhu a určoval, co bylo možné.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QuantConnect (QC)</w:t>
      </w:r>
      <w:r>
        <w:t xml:space="preserve"> — online platforma s historickými minutovými daty světových trhů a simulačním enginem LEAN. Strategie se píšou v Pythonu. Používali jsme </w:t>
      </w:r>
      <w:r>
        <w:rPr>
          <w:b/>
          <w:bCs/>
        </w:rPr>
        <w:t xml:space="preserve">bezplatný účet</w:t>
      </w:r>
      <w:r>
        <w:t xml:space="preserve">, což mělo tři důležitá omezení: (1) backtest nešel spustit programově — každý běh musel člověk odkliknout ručně v prohlížeči; (2) k dispozici byl jen </w:t>
      </w:r>
      <w:r>
        <w:rPr>
          <w:b/>
          <w:bCs/>
        </w:rPr>
        <w:t xml:space="preserve">jeden výpočetní uzel</w:t>
      </w:r>
      <w:r>
        <w:t xml:space="preserve"> — vždy jen jeden běžící backtest; (3) výstupy (logy, grafy) se četly zpět přes API s limity (stránkování logů po 200 řádcích, limit ~10 kB na logy). Proto jsme každý experiment navrhovali tak, aby </w:t>
      </w:r>
      <w:r>
        <w:rPr>
          <w:b/>
          <w:bCs/>
        </w:rPr>
        <w:t xml:space="preserve">jeden klik odpověděl na co nejvíc otázek najednou</w:t>
      </w:r>
      <w:r>
        <w:t xml:space="preserve"> — místo dvaceti běhů jeden běh s dvaceti variantami uvnitř (tzv. compute-engine vzor: strategie se simulují interně a výsledky se exportují přes grafové série a značkované logy).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Lokální analýza</w:t>
      </w:r>
      <w:r>
        <w:t xml:space="preserve"> — statistiku (bootstrap, percentily, heatmapy, grafy) jsme počítali vlastními Python skripty (pandas, numpy, matplotlib) nad daty staženými z QC. Všechny obrázky v tomto dokumentu vznikly takto.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TradingView</w:t>
      </w:r>
      <w:r>
        <w:t xml:space="preserve"> — webová aplikace na grafy; v jejím jazyce Pine Script jsme postupně stavěli indikátor pro živé sledování strategie (celá jeho evoluce je v kapitole 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 repozitář</w:t>
      </w:r>
      <w:r>
        <w:t xml:space="preserve"> — každý kód, výsledek, obrázek i zápis je verzovaný; každý závěr má dohledatelný commit. Playbooky (technické deníky) drží plná čísla všech testů.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Náklady v simulacích</w:t>
      </w:r>
      <w:r>
        <w:t xml:space="preserve"> — všude počítáme s náklady na obchod (poplatek + skluz v plnění). Dva scénáře: optimistický 0,4 bps a </w:t>
      </w:r>
      <w:r>
        <w:rPr>
          <w:b/>
          <w:bCs/>
        </w:rPr>
        <w:t xml:space="preserve">konzervativní 1,2 bps</w:t>
      </w:r>
      <w:r>
        <w:t xml:space="preserve"> za celý obchod (nákup + prodej). Není-li řečeno jinak, všechna čísla v dokumentu jsou po konzervativních nákladech.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</w:t>
      </w:r>
      <w:r>
        <w:t xml:space="preserve"> — NQ futures jako „kontinuální kontrakt“ (navazované jednotlivé expirace), minutové svíčky, hlavní seance. In-sample okno: 2. 1. 2018 – 30. 9. 2025.</w:t>
      </w:r>
    </w:p>
    <w:p>
      <w:pPr>
        <w:pStyle w:val="Heading1"/>
        <w:spacing w:after="160" w:before="400"/>
      </w:pPr>
      <w:r>
        <w:t xml:space="preserve">3. Slovníček pro úplné začátečníky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Futures (futures kontrakt)</w:t>
      </w:r>
      <w:r>
        <w:t xml:space="preserve"> — burzovní kontrakt, kterým sázíš na budoucí cenu něčeho (indexu, komodity). My obchodujeme </w:t>
      </w:r>
      <w:r>
        <w:rPr>
          <w:b/>
          <w:bCs/>
        </w:rPr>
        <w:t xml:space="preserve">NQ</w:t>
      </w:r>
      <w:r>
        <w:t xml:space="preserve"> = futures na index Nasdaq-100 (100 největších amerických technologických firem). Cena NQ se hýbe v bodech; jeden bod = 20 dolarů zisku/ztráty na kontrakt.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Long / Short</w:t>
      </w:r>
      <w:r>
        <w:t xml:space="preserve"> — long = sázka na růst (koupím, pak prodám dráž). Short = sázka na pokles (prodám půjčené, pak koupím levněji). Futures umožňují obojí stejně snadno.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RTH (Regular Trading Hours)</w:t>
      </w:r>
      <w:r>
        <w:t xml:space="preserve"> — hlavní obchodní hodiny americké burzy: 9:30–16:00 newyorského času.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VWAP (Volume-Weighted Average Price)</w:t>
      </w:r>
      <w:r>
        <w:t xml:space="preserve"> — průměrná cena dne vážená objemem obchodů. Lidsky: „průměrná cena, za kterou dnes všichni reálně nakupovali a prodávali“. Nejsledovanější vnitrodenní „férová cena“.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Bps (bazický bod)</w:t>
      </w:r>
      <w:r>
        <w:t xml:space="preserve"> — setina procenta. 20 bps = 0,20 %.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Backtest</w:t>
      </w:r>
      <w:r>
        <w:t xml:space="preserve"> — simulace strategie na historických datech. Nikdy nedokazuje budoucnost, jen popisuje minulost.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In-sample (IS) / Out-of-sample (OOS)</w:t>
      </w:r>
      <w:r>
        <w:t xml:space="preserve"> — IS = data, na kterých strategii vyvíjíš a ladíš. OOS = data schovaná stranou, na která se během vývoje NIKDY nedíváš. Jen OOS je skutečný test — na IS si vždycky tak trochu „píšeš písemku, ke které máš tahák“.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Overfitting (přeučení)</w:t>
      </w:r>
      <w:r>
        <w:t xml:space="preserve"> — past č. 1: když zkoušíš dost variant, nějaká bude na minulosti vypadat skvěle čistou náhodou. Poznávací znak: funguje jen jedna přesná hodnota parametru (izolovaný „spike“), sousedé 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Equity curve (křivka kapitálu)</w:t>
      </w:r>
      <w:r>
        <w:t xml:space="preserve"> — graf hodnoty účtu v čase.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CAGR</w:t>
      </w:r>
      <w:r>
        <w:t xml:space="preserve"> — průměrný roční výnos se složeným úročením.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Max drawdown (MDD)</w:t>
      </w:r>
      <w:r>
        <w:t xml:space="preserve"> — největší propad účtu od vrcholu ke dnu. Pro tradery u prop firem nejdůležitější číslo — velký drawdown znamená vyhazov.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Sharpe ratio</w:t>
      </w:r>
      <w:r>
        <w:t xml:space="preserve"> — výnos dělený kolísavostí; „kolik výnosu za jednotku houpání“. 1,0 slušné, 1,4 velmi dobré, 2+ podezřelé.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 rate (úspěšnost)</w:t>
      </w:r>
      <w:r>
        <w:t xml:space="preserve"> — procento ziskových obchodů. Vysoký win rate NEznamená ziskovou strategii — v dokumentu to uvidíš dvakrát.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Stop-loss (SL) / Take-profit (TP)</w:t>
      </w:r>
      <w:r>
        <w:t xml:space="preserve"> — SL = úroveň, kde ztrátu utneš; TP = úroveň, kde bereš zisk.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Stop-and-reverse</w:t>
      </w:r>
      <w:r>
        <w:t xml:space="preserve"> — exit, který zároveň otevře pozici opačným směrem.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Whipsaw</w:t>
      </w:r>
      <w:r>
        <w:t xml:space="preserve"> — rychlá falešná otočka: vstoupíš, trh se hned obrátí, vystoupíš se ztrátou.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Overnight gap</w:t>
      </w:r>
      <w:r>
        <w:t xml:space="preserve"> — rozdíl mezi dnešním otevřením (9:30) a včerejším závěrem (16:00).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Vol-targeting (VT)</w:t>
      </w:r>
      <w:r>
        <w:t xml:space="preserve"> — úprava velikosti pozice podle aktuální volatility (klidný trh = větší pozice, divoký = menší), cílí konstantní riziko. „VT15“ = cíl 15 % roční volatility.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Monte Carlo / bootstrap</w:t>
      </w:r>
      <w:r>
        <w:t xml:space="preserve"> — z historických výnosů náhodně losuješ (s vracením) tisíce alternativních scénářů „jak to mohlo dopadnout“.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Percentil</w:t>
      </w:r>
      <w:r>
        <w:t xml:space="preserve"> — pozice v rozdělení: „30. percentil“ = 30 % scénářů hůř, 70 % lépe.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Kvintily</w:t>
      </w:r>
      <w:r>
        <w:t xml:space="preserve"> — rozdělení dat na pětiny (Q1 = spodních 20 %, Q5 = horních 20 %).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t-statistika</w:t>
      </w:r>
      <w:r>
        <w:t xml:space="preserve"> — míra statistické průkaznosti; |t| nad ~2 se považuje za signál, ne šum.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Předregistrace</w:t>
      </w:r>
      <w:r>
        <w:t xml:space="preserve"> — sepsání kritérií úspěchu PŘED spuštěním testu, aby se výsledek nedal ohýbat zpětně.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 firma</w:t>
      </w:r>
      <w:r>
        <w:t xml:space="preserve"> — společnost, která traderovi svěří kapitál za podíl na zisku, s přísným limitem na drawdown.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Výchozí bod: vědecký článek</w:t>
      </w:r>
    </w:p>
    <w:p>
      <w:pPr>
        <w:spacing w:after="140"/>
        <w:jc w:val="both"/>
      </w:pPr>
      <w:r>
        <w:t xml:space="preserve">Všechno začalo článkem </w:t>
      </w:r>
      <w:r>
        <w:rPr>
          <w:b/>
          <w:bCs/>
        </w:rPr>
        <w:t xml:space="preserve">Zarattini &amp; Aziz: „VWAP: The Holy Grail for Day Trading Systems“</w:t>
      </w:r>
      <w:r>
        <w:t xml:space="preserve"> (SSRN 4631351). Autoři tvrdí, že jednoduchá vnitrodenní strategie sledující trend vůči VWAP dosahovala na ETF QQQ (fond kopírující Nasdaq-100) přes 40 % ročně při Sharpe kolem 2.</w:t>
      </w:r>
    </w:p>
    <w:p>
      <w:pPr>
        <w:spacing w:after="140"/>
        <w:jc w:val="both"/>
      </w:pPr>
      <w:r>
        <w:t xml:space="preserve">Pravidla článku: každou minutu se dívej, jestli svíčka zavřela nad, nebo pod VWAP. Zavře </w:t>
      </w:r>
      <w:r>
        <w:rPr>
          <w:b/>
          <w:bCs/>
        </w:rPr>
        <w:t xml:space="preserve">nad</w:t>
      </w:r>
      <w:r>
        <w:t xml:space="preserve"> → drž long; zavře </w:t>
      </w:r>
      <w:r>
        <w:rPr>
          <w:b/>
          <w:bCs/>
        </w:rPr>
        <w:t xml:space="preserve">pod</w:t>
      </w:r>
      <w:r>
        <w:t xml:space="preserve"> → drž short (okamžité otočení, stop-and-reverse). Vstupy se plní na otevření následující svíčky. Na konci dne vše uzavřít, nic nedržet přes noc. Je to čistý </w:t>
      </w:r>
      <w:r>
        <w:rPr>
          <w:b/>
          <w:bCs/>
        </w:rPr>
        <w:t xml:space="preserve">trend-following</w:t>
      </w:r>
      <w:r>
        <w:t xml:space="preserve">: nehádáš obraty, jedeš s proudem.</w:t>
      </w:r>
    </w:p>
    <w:p>
      <w:pPr>
        <w:spacing w:after="140"/>
        <w:jc w:val="both"/>
      </w:pPr>
      <w:r>
        <w:t xml:space="preserve">Titulek „Svatý grál“ je reklama. Naše otázka: </w:t>
      </w:r>
      <w:r>
        <w:rPr>
          <w:b/>
          <w:bCs/>
        </w:rPr>
        <w:t xml:space="preserve">je na tom něco pravdy a přežije to kontakt s realitou</w:t>
      </w:r>
      <w:r>
        <w:t xml:space="preserve"> (náklady, skluz, jiné trhy)?</w:t>
      </w:r>
    </w:p>
    <w:p>
      <w:pPr>
        <w:pStyle w:val="Heading1"/>
        <w:spacing w:after="160" w:before="400"/>
      </w:pPr>
      <w:r>
        <w:t xml:space="preserve">5. Krok R1: Replikace — ověření, že článek nelže</w:t>
      </w:r>
    </w:p>
    <w:p>
      <w:pPr>
        <w:spacing w:after="140"/>
        <w:jc w:val="both"/>
      </w:pPr>
      <w:r>
        <w:rPr>
          <w:b/>
          <w:bCs/>
        </w:rPr>
        <w:t xml:space="preserve">Replikace</w:t>
      </w:r>
      <w:r>
        <w:t xml:space="preserve"> = naprogramovat pravidla přesně podle textu a ověřit shodu čísel. Půlka „zázračných“ strategií z internetu padne už tady. Testovali jsme na QQQ i na pákovém TQQQ, období 2018 – září 2023, se stejným modelem nákladů jako článek: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metrika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QQQ náš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QQQ článek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TQQQ náš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TQQQ článek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celkový výnos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611,6 %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671 %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1 484 %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8 242 %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CAGR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61,9 %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116 %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volatilita p.a.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17,7 %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Sharpe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1,7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drawdown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36,1 %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 rate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~17 %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18,1 %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~17 %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poměr výhra:ztráta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~5,7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5,2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~5,5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počet obchodů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23 360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~21 967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23 504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~22 399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</w:rPr>
        <w:t xml:space="preserve">QQQ: PASS, prakticky přesná shoda.</w:t>
      </w:r>
      <w:r>
        <w:t xml:space="preserve"> Všimni si: win rate jen 17 % — strategie prohrává 5 obchodů ze 6, a přesto vydělává, protože průměrná výhra je 5,5× větší než ztráta. To je DNA trend-followingu: </w:t>
      </w:r>
      <w:r>
        <w:rPr>
          <w:b/>
          <w:bCs/>
        </w:rPr>
        <w:t xml:space="preserve">hodně malých ztrát, občas obrovská výhra.</w:t>
      </w:r>
    </w:p>
    <w:p>
      <w:pPr>
        <w:spacing w:after="140"/>
        <w:jc w:val="both"/>
      </w:pPr>
      <w:r>
        <w:rPr>
          <w:b/>
          <w:bCs/>
        </w:rPr>
        <w:t xml:space="preserve">TQQQ: struktura obchodů sedí, ale celkové číslo ne.</w:t>
      </w:r>
      <w:r>
        <w:t xml:space="preserve"> Dohledali jsme přesnou příčinu rozdílu 0,71 bps na obchod: článek počítá poplatek „za akcii“ na cenách před rozdělením akcií (split), kde je cena akcie vysoká a poplatek relativně titěrný; na splitovaných datech je cena nízká a stejný poplatek je relativně několikanásobný. Datový artefakt, ne chyba pravidel — u QQQ (vysoká cena akcie) se proto shoda povedla.</w:t>
      </w:r>
    </w:p>
    <w:p>
      <w:pPr>
        <w:pStyle w:val="Heading1"/>
        <w:spacing w:after="160" w:before="400"/>
      </w:pPr>
      <w:r>
        <w:t xml:space="preserve">6. Krok R2: Překlad na S&amp;P 500 — slepá ulička č. 1</w:t>
      </w:r>
    </w:p>
    <w:p>
      <w:pPr>
        <w:spacing w:after="140"/>
        <w:jc w:val="both"/>
      </w:pPr>
      <w:r>
        <w:t xml:space="preserve">My ale nechceme obchodovat fond, nýbrž futures. Před testem jsme sepsali explicitní rozhodnutí (žádné tiché předpoklady): ES kotvíme na RTH 9:30–16:00; kontinuální kontrakt; velikost pozice 1× hodnota účtu bez páky; náklady 0,4/1,2 bps na obchod; okno končí 30. 9. 2025 (rezervované OOS nedotčeno). Výsledky (2018 – 2025/09, ~17,5 obchodu denně):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scénář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SPY CAGR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SPY Sharpe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 CAGR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 Sharpe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hrubý (bez nákladů)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0,76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+12,0 %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0,91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optimistické náklady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−8,0 %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−0,54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−6,1 %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−0,39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konzervativní náklady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−35,5 %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−2,91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−34,1 %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−2,78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prosté držení SPY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+14,3 %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Dvě zdrcující zjištění. </w:t>
      </w:r>
      <w:r>
        <w:rPr>
          <w:b/>
          <w:bCs/>
        </w:rPr>
        <w:t xml:space="preserve">Za prvé:</w:t>
      </w:r>
      <w:r>
        <w:t xml:space="preserve"> hrubý edge je na S&amp;P 4× slabší než na Nasdaqu — vnitrodenní trendovost je vlastnost technologického indexu, ne trhů obecně. Hrubý výnos je dokonce POD prostým držením. </w:t>
      </w:r>
      <w:r>
        <w:rPr>
          <w:b/>
          <w:bCs/>
        </w:rPr>
        <w:t xml:space="preserve">Za druhé:</w:t>
      </w:r>
      <w:r>
        <w:t xml:space="preserve"> ~17,5 obchodu denně × náklad × 250 dní = obrovský průběžný odvod. Pro úplnost: i vlajkové QQQ s realistickými náklady dopadá střízlivě — optimistické +19,4 % (Sharpe 1,07, pořád zajímavé), konzervativní </w:t>
      </w:r>
      <w:r>
        <w:rPr>
          <w:b/>
          <w:bCs/>
        </w:rPr>
        <w:t xml:space="preserve">−14,0 %</w:t>
      </w:r>
      <w:r>
        <w:t xml:space="preserve"> (mrtvé). Článek de facto předpokládá obchodování zadarmo.</w:t>
      </w:r>
    </w:p>
    <w:p>
      <w:pPr>
        <w:pBdr>
          <w:left w:val="single" w:color="888888" w:sz="18" w:space="8"/>
        </w:pBdr>
        <w:spacing w:after="160"/>
        <w:ind w:left="480"/>
      </w:pPr>
      <w:r>
        <w:rPr>
          <w:i/>
          <w:iCs/>
        </w:rPr>
        <w:t xml:space="preserve">Lekce č. 1: Náklady nejsou detail. U vysokofrekvenčních strategií rozhodují o životě a smrti. Každý backtest bez realistických nákladů je pohádka.</w:t>
      </w:r>
    </w:p>
    <w:p>
      <w:pPr>
        <w:pStyle w:val="Heading1"/>
        <w:spacing w:after="160" w:before="400"/>
      </w:pPr>
      <w:r>
        <w:t xml:space="preserve">7. Krok R4: Záchrana na NQ — hysterezní pásmo</w:t>
      </w:r>
    </w:p>
    <w:p>
      <w:pPr>
        <w:spacing w:after="140"/>
        <w:jc w:val="both"/>
      </w:pPr>
      <w:r>
        <w:t xml:space="preserve">Přenesli jsme strategii na NQ (Nasdaq futures — tam, kde edge žije) a řešili náklady. Výchozí stav: 16,2 obchodu denně, po konzervativních nákladech CAGR </w:t>
      </w:r>
      <w:r>
        <w:rPr>
          <w:b/>
          <w:bCs/>
        </w:rPr>
        <w:t xml:space="preserve">−17,8 %</w:t>
      </w:r>
      <w:r>
        <w:t xml:space="preserve">. Řešení: </w:t>
      </w:r>
      <w:r>
        <w:rPr>
          <w:b/>
          <w:bCs/>
        </w:rPr>
        <w:t xml:space="preserve">hysterezní pásmo</w:t>
      </w:r>
      <w:r>
        <w:t xml:space="preserve"> — kolem VWAP nakreslíme pásmo ±20 bps a jednáme, až když cena zavře ZA pásmem. „Hystereze“ je pojem z fyziky: systém ignoruje malé podněty, reaguje jen na velké.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konfigurace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obchodů/den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 (konzerv. náklady)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Sharpe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 pásma (surová replika)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16,2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pásmo 20 bps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+9,5 %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0,59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−22,4 %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pásmo 20 bps + VT15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+9,6 %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0,74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−12,2 %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Anatomie, proč to funguje: </w:t>
      </w:r>
      <w:r>
        <w:rPr>
          <w:b/>
          <w:bCs/>
        </w:rPr>
        <w:t xml:space="preserve">77 % původních obchodů byly whipsawy do 15 minut</w:t>
      </w:r>
      <w:r>
        <w:t xml:space="preserve">, které v souhrnu prodělaly stovky procent — pásmo je vyfiltrovalo. A druhá strana mince: </w:t>
      </w:r>
      <w:r>
        <w:rPr>
          <w:b/>
          <w:bCs/>
        </w:rPr>
        <w:t xml:space="preserve">top 1 % obchodů neslo 2–3,6násobek celkového zisku</w:t>
      </w:r>
      <w:r>
        <w:t xml:space="preserve"> — bez vzácných velkých vítězů strategie neexistuje. Vrstva VT15 (vol-targeting) pak nezvedá výnos, ale uhlazuje riziko (drawdown −22 % → −12 %). Tuto konfiguraci (pásmo 20 bps + VT15) jsme zamrazili pro ostrý test.</w:t>
      </w:r>
    </w:p>
    <w:p>
      <w:pPr>
        <w:pStyle w:val="Heading1"/>
        <w:spacing w:after="160" w:before="400"/>
      </w:pPr>
      <w:r>
        <w:t xml:space="preserve">8. Krok R3: Jednorázový test na neviděných datech</w:t>
      </w:r>
    </w:p>
    <w:p>
      <w:pPr>
        <w:spacing w:after="140"/>
        <w:jc w:val="both"/>
      </w:pPr>
      <w:r>
        <w:t xml:space="preserve">Od začátku výzkumu jsme drželi </w:t>
      </w:r>
      <w:r>
        <w:rPr>
          <w:b/>
          <w:bCs/>
        </w:rPr>
        <w:t xml:space="preserve">zamčené OOS okno</w:t>
      </w:r>
      <w:r>
        <w:t xml:space="preserve">: data od 1. 10. 2025, na která bylo zakázáno sáhnout. Před testem proběhla ceremonie </w:t>
      </w:r>
      <w:r>
        <w:rPr>
          <w:b/>
          <w:bCs/>
        </w:rPr>
        <w:t xml:space="preserve">frozen spec</w:t>
      </w:r>
      <w:r>
        <w:t xml:space="preserve">: do souboru jsme sepsali přesnou konfiguraci, přesná vyhodnocovací pásma (např. výsledek mezi −5 % a 0 % = „nejednoznačné“) a slib, že se test provede jen jednou. Teprve pak klik.</w:t>
      </w:r>
    </w:p>
    <w:p>
      <w:pPr>
        <w:spacing w:after="140"/>
        <w:jc w:val="both"/>
      </w:pPr>
      <w:r>
        <w:t xml:space="preserve">Komplikace: platforma měla data kontinuálního NQ jen do 16. 4. 2026, takže z plánovaných 197 obchodních dní jich reálně bylo </w:t>
      </w:r>
      <w:r>
        <w:rPr>
          <w:b/>
          <w:bCs/>
        </w:rPr>
        <w:t xml:space="preserve">140</w:t>
      </w:r>
      <w:r>
        <w:t xml:space="preserve">. Výsledek: hrubý +1,87 %, optimistické náklady +1,11 %, konzervativní </w:t>
      </w:r>
      <w:r>
        <w:rPr>
          <w:b/>
          <w:bCs/>
        </w:rPr>
        <w:t xml:space="preserve">−1,33 %</w:t>
      </w:r>
      <w:r>
        <w:t xml:space="preserve"> → dle předregistrovaných pásem </w:t>
      </w:r>
      <w:r>
        <w:rPr>
          <w:b/>
          <w:bCs/>
        </w:rPr>
        <w:t xml:space="preserve">NEJEDNOZNAČNÉ</w:t>
      </w:r>
      <w:r>
        <w:t xml:space="preserve">. Důležité: mechanika seděla (2,3 obchodu denně, win rate 35,8 % ≈ historie) — strategie se chovala správně, jen edge byl v tom období slabý. Okno bylo tímto </w:t>
      </w:r>
      <w:r>
        <w:rPr>
          <w:b/>
          <w:bCs/>
        </w:rPr>
        <w:t xml:space="preserve">spotřebováno</w:t>
      </w:r>
      <w:r>
        <w:t xml:space="preserve">.</w:t>
      </w:r>
    </w:p>
    <w:p>
      <w:pPr>
        <w:pBdr>
          <w:left w:val="single" w:color="888888" w:sz="18" w:space="8"/>
        </w:pBdr>
        <w:spacing w:after="160"/>
        <w:ind w:left="480"/>
      </w:pPr>
      <w:r>
        <w:rPr>
          <w:i/>
          <w:iCs/>
        </w:rPr>
        <w:t xml:space="preserve">Lekce č. 2: Krátké OOS okno je mincovní hod — statisticky neodliší „funguje“ od „nefunguje“. Přesně to za chvíli dokáže Monte Carlo.</w:t>
      </w:r>
    </w:p>
    <w:p>
      <w:pPr>
        <w:pStyle w:val="Heading1"/>
        <w:spacing w:after="160" w:before="400"/>
      </w:pPr>
      <w:r>
        <w:t xml:space="preserve">9. Diagnóza D1: Kdy strategie vydělává?</w:t>
      </w:r>
    </w:p>
    <w:p>
      <w:pPr>
        <w:spacing w:after="140"/>
        <w:jc w:val="both"/>
      </w:pPr>
      <w:r>
        <w:t xml:space="preserve">Místo dalšího ladění jsme rozložili edge po letech a hledali podmínky, ve kterých žije: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rok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volatilita NQ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hrubý edge (raw)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pásmo 20 net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pásmo+VT15 net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2018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20,1 %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+49,4 %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+23,9 %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+17,0 %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2019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−3,8 %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+89,2 %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+13,7 %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+18,9 %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14,5 %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+49,4 %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+22,9 %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+21,4 %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2022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+66,4 %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+14,4 %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+13,0 %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15,2 %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+13,0 %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+0,7 %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+1,3 %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13,9 %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+23,6 %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+19,2 %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+19,1 %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2025 (I–IX)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+5,1 %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−7,8 %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Vzorec: </w:t>
      </w:r>
      <w:r>
        <w:rPr>
          <w:b/>
          <w:bCs/>
        </w:rPr>
        <w:t xml:space="preserve">edge koreluje s volatilitou</w:t>
      </w:r>
      <w:r>
        <w:t xml:space="preserve"> (korelace +0,62; s časem −0,44). Klidný 2019 = nejslabší, divoké 2020/2022 = nejsilnější. Trend-following potřebuje pohyb. Ale poslední řádek je varování: 2025 měl volatilitu srovnatelnou s 2018 (21 vs 20 %), a přesto edge jen +5 % místo +49 %. </w:t>
      </w:r>
      <w:r>
        <w:rPr>
          <w:b/>
          <w:bCs/>
        </w:rPr>
        <w:t xml:space="preserve">Poslední ~2 roky dodávají méně edge, než by volatilita předpovídala</w:t>
      </w:r>
      <w:r>
        <w:t xml:space="preserve"> — možný otisk „crowdingu“ (moc lidí obchoduje totéž). Zapsáno jako věc k hlídání.</w:t>
      </w:r>
    </w:p>
    <w:p>
      <w:pPr>
        <w:pStyle w:val="Heading1"/>
        <w:spacing w:after="160" w:before="400"/>
      </w:pPr>
      <w:r>
        <w:t xml:space="preserve">10. Diagnóza D2: Monte Carlo a mapa parametrů</w:t>
      </w:r>
    </w:p>
    <w:p>
      <w:pPr>
        <w:spacing w:after="140"/>
        <w:jc w:val="both"/>
      </w:pPr>
      <w:r>
        <w:t xml:space="preserve">Dvě otázky: (1) Kolik z OOS výsledku −1,33 % je šum? (2) Není konfigurace přeučená na jednu šťastnou hodnotu?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Monte Carlo: rozdělení možných výsledků (10 000 přehraných scénářů z 5 372 historických obchodů).</w:t>
      </w:r>
    </w:p>
    <w:p>
      <w:pPr>
        <w:spacing w:after="140"/>
        <w:jc w:val="both"/>
      </w:pPr>
      <w:r>
        <w:rPr>
          <w:b/>
          <w:bCs/>
        </w:rPr>
        <w:t xml:space="preserve">In-sample bootstrap:</w:t>
      </w:r>
      <w:r>
        <w:t xml:space="preserve"> medián CAGR +9,7 % (rozpětí 5.–95. percentil: +1,2 až +19,0 %), pravděpodobnost záporného CAGR jen 3,2 %. Ale </w:t>
      </w:r>
      <w:r>
        <w:rPr>
          <w:b/>
          <w:bCs/>
        </w:rPr>
        <w:t xml:space="preserve">bootstrap OOS segmentu</w:t>
      </w:r>
      <w:r>
        <w:t xml:space="preserve"> (325 obchodů): medián −1,4 %, rozpětí −16 až +18 %, a hlavně </w:t>
      </w:r>
      <w:r>
        <w:rPr>
          <w:b/>
          <w:bCs/>
        </w:rPr>
        <w:t xml:space="preserve">P(kladný výsledek) = 44,8 %</w:t>
      </w:r>
      <w:r>
        <w:t xml:space="preserve"> — mincovní hod. Výsledek −1,33 % je tedy prakticky celý šum; okno nemělo sílu nic rozhodnout. Verdikt „nejednoznačné“ z R3 tím byl empiricky potvrzen.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Vějíř equity křivek z Monte Carla — takhle široký je rozptyl možných osudů té samé strategie.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Mapa parametrů (pásmo × VT): jeden souvislý ostrov dobrých hodnot = zdravé znamení.</w:t>
      </w:r>
    </w:p>
    <w:p>
      <w:pPr>
        <w:spacing w:after="140"/>
        <w:jc w:val="both"/>
      </w:pPr>
      <w:r>
        <w:t xml:space="preserve">Mřížka 5×5 (pásmo 10–30 bps × VT 10–20 %) podle Sharpe: naše buňka (20, 15) = 0,75; celé řádky pásem 20/25/30 nad 0,7; nejlepší hřeben na pásmu 25 (Sharpe až 1,04). Formální shluková analýza: při prahu Sharpe ≥ 0,5 tvoří dobré buňky </w:t>
      </w:r>
      <w:r>
        <w:rPr>
          <w:b/>
          <w:bCs/>
        </w:rPr>
        <w:t xml:space="preserve">jeden souvislý ostrov 16 z 25</w:t>
      </w:r>
      <w:r>
        <w:t xml:space="preserve"> — žádný izolát. Naše konfigurace v něm sedí (na okraji směrem k menším pásmům). Závěr: parametricky zdravé.</w:t>
      </w:r>
    </w:p>
    <w:p>
      <w:pPr>
        <w:pStyle w:val="Heading1"/>
        <w:spacing w:after="160" w:before="400"/>
      </w:pPr>
      <w:r>
        <w:t xml:space="preserve">11. Slepá ulička č. 2: fixní take-profit (TP-grid)</w:t>
      </w:r>
    </w:p>
    <w:p>
      <w:pPr>
        <w:spacing w:after="140"/>
        <w:jc w:val="both"/>
      </w:pPr>
      <w:r>
        <w:t xml:space="preserve">Přišel lákavý nápad: „přidejme pevný cíl zisku, ať máme vyšší úspěšnost a menší rozptyl.“ Před testem jsme si zapsali predikci: „fixní TP výrazně zhorší očekávaný zisk.“ Otestovali jsme TP na 0,25×, 0,5× a 1× rizika obchodu (riziko = vzdálenost vstupu od opačného pásma):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varianta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obchodů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 (konzerv.)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 = 0,25× riziko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79,6 %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11 115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−62,9 %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 = 0,5× riziko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66,3 %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8 513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−6,8 %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−47,5 %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TP = 1× riziko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6 656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−1,2 %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−37,5 %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 TP (původní)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5 051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+9,5 %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−22,4 %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Predikce se potvrdila tvrději, než jsme čekali — a vztah je dokonale </w:t>
      </w:r>
      <w:r>
        <w:rPr>
          <w:b/>
          <w:bCs/>
        </w:rPr>
        <w:t xml:space="preserve">monotónní</w:t>
      </w:r>
      <w:r>
        <w:t xml:space="preserve">: čím těsnější TP, tím hůř. TP s 80% win rate prodělává 11 % ročně! Mechanismus: zisk trend-followingu dělá pár obrovských vítězů; fixní TP je systematicky usekává („utrhne květinu, zaleje plevel“) a nechá běžet jen ztráty.</w:t>
      </w:r>
    </w:p>
    <w:p>
      <w:pPr>
        <w:pBdr>
          <w:left w:val="single" w:color="888888" w:sz="18" w:space="8"/>
        </w:pBdr>
        <w:spacing w:after="160"/>
        <w:ind w:left="480"/>
      </w:pPr>
      <w:r>
        <w:rPr>
          <w:i/>
          <w:iCs/>
        </w:rPr>
        <w:t xml:space="preserve">Lekce č. 3: Win rate je marketingové číslo. Strategie s 80% úspěšností může spolehlivě bankrotovat, strategie s 36% úspěšností spolehlivě vydělávat.</w:t>
      </w:r>
    </w:p>
    <w:p>
      <w:pPr>
        <w:pStyle w:val="Heading1"/>
        <w:spacing w:after="160" w:before="400"/>
      </w:pPr>
      <w:r>
        <w:t xml:space="preserve">12. Nová varianta: jeden obchod denně</w:t>
      </w:r>
    </w:p>
    <w:p>
      <w:pPr>
        <w:spacing w:after="140"/>
        <w:jc w:val="both"/>
      </w:pPr>
      <w:r>
        <w:t xml:space="preserve">Pro reálné (diskreční) obchodování je stop-and-reverse s 2–3 obchody denně nepraktický. Přetvořili jsme proto strategii: </w:t>
      </w:r>
      <w:r>
        <w:rPr>
          <w:b/>
          <w:bCs/>
        </w:rPr>
        <w:t xml:space="preserve">jeden obchod denně</w:t>
      </w:r>
      <w:r>
        <w:t xml:space="preserve">. Pravidla: od 9:31 čekej na zavření 1min svíčky za pásmem VWAP ±20 bps → vstup ve směru průrazu na otevření další svíčky, jen první signál dne. Exit: zavření za opačným pásmem (bez otočení!), nebo 16:00. Spustili jsme ověřovací běh se dvěma větvemi — bez TP a s reálným TP 74,375 bodu (polovina původně zvažovaných 148,75):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Equity křivka varianty „jeden obchod denně“ (bez TP): +89 % za 7,7 roku.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Srovnání obou větví: bez TP (modrá) vs. s TP 74,4 bodu (červená).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varianta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celkem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872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 rate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 TP (band exit)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+89,1 %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+8,6 %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−17,2 %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36,9 %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 TP 74,375 b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+21,3 %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+2,4 %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−9,3 %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46,8 %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Znovu stejná lekce v novém kabátě: TP zvedl win rate na 47 % a zjemnil drawdown, ale </w:t>
      </w:r>
      <w:r>
        <w:rPr>
          <w:b/>
          <w:bCs/>
        </w:rPr>
        <w:t xml:space="preserve">výnos srazil na čtvrtinu</w:t>
      </w:r>
      <w:r>
        <w:t xml:space="preserve">. Padla u toho i důležitá otázka: „neporazila by tahle křivka index?“ Poctivá odpověď: </w:t>
      </w:r>
      <w:r>
        <w:rPr>
          <w:b/>
          <w:bCs/>
        </w:rPr>
        <w:t xml:space="preserve">ne</w:t>
      </w:r>
      <w:r>
        <w:t xml:space="preserve"> — prosté držení Nasdaqu vydělalo za stejné období násobně víc. Přidaná hodnota strategie není v hrubém výnosu, ale v </w:t>
      </w:r>
      <w:r>
        <w:rPr>
          <w:b/>
          <w:bCs/>
        </w:rPr>
        <w:t xml:space="preserve">polovičním drawdownu, nulovém nočním riziku a short větvi</w:t>
      </w:r>
      <w:r>
        <w:t xml:space="preserve"> (vydělává i na poklesech). To je potřeba říkat nahlas.</w:t>
      </w:r>
    </w:p>
    <w:p>
      <w:pPr>
        <w:pStyle w:val="Heading1"/>
        <w:spacing w:after="160" w:before="400"/>
      </w:pPr>
      <w:r>
        <w:t xml:space="preserve">13. Test robustnosti: fan chart, mrak a heatmapy</w:t>
      </w:r>
    </w:p>
    <w:p>
      <w:pPr>
        <w:spacing w:after="140"/>
        <w:jc w:val="both"/>
      </w:pPr>
      <w:r>
        <w:t xml:space="preserve">Uživatelův požadavek zněl: „uděláme náš klasický test robustnosti — OOS okno, spaghetti fan chart, cluster analýzu a parameter stability heatmapu.“ Jeden QC běh dodal materiál na všechno: zamrazené pásmo 20 protažené přes celý rozsah 2018–2026/04 (pro fan chart a OOS čáru) + mřížka pásem 8–30 bps jen na IS (pro heatmapu).</w:t>
      </w:r>
    </w:p>
    <w:p>
      <w:pPr>
        <w:pStyle w:val="Heading2"/>
        <w:spacing w:after="120" w:before="280"/>
      </w:pPr>
      <w:r>
        <w:t xml:space="preserve">13.1 Spaghetti fan chart — realita vs. očekávání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500 náhodně přehraných scénářů (barevné čáry) a skutečný výsledek na nejnovějších datech (žlutá čára).</w:t>
      </w:r>
    </w:p>
    <w:p>
      <w:pPr>
        <w:spacing w:after="140"/>
        <w:jc w:val="both"/>
      </w:pPr>
      <w:r>
        <w:t xml:space="preserve">Z IS denních výnosů jsme nagenerovali 500 alternativních budoucností a přes ně nakreslili </w:t>
      </w:r>
      <w:r>
        <w:rPr>
          <w:b/>
          <w:bCs/>
        </w:rPr>
        <w:t xml:space="preserve">skutečný</w:t>
      </w:r>
      <w:r>
        <w:t xml:space="preserve"> výsledek období říjen 2025 – duben 2026: </w:t>
      </w:r>
      <w:r>
        <w:rPr>
          <w:b/>
          <w:bCs/>
        </w:rPr>
        <w:t xml:space="preserve">+1,29 % za 143 dní = 30. percentil</w:t>
      </w:r>
      <w:r>
        <w:t xml:space="preserve">. Realita drží uvnitř vějíře, ale pod středem — edge je, jen slabší než historický průměr. (Poznámka pro poctivost: tohle okno už vidělo R3, takže pro tuhle variantu je to „poloOOS“.)</w:t>
      </w:r>
    </w:p>
    <w:p>
      <w:pPr>
        <w:pStyle w:val="Heading2"/>
        <w:spacing w:after="120" w:before="280"/>
      </w:pPr>
      <w:r>
        <w:t xml:space="preserve">13.2 Mrak výsledků (cluster analýza)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Každá tečka = jeden scénář (výnos × největší propad). Hvězda = skutečnost. 74 % scénářů kladných.</w:t>
      </w:r>
    </w:p>
    <w:p>
      <w:pPr>
        <w:pStyle w:val="Heading2"/>
        <w:spacing w:after="120" w:before="280"/>
      </w:pPr>
      <w:r>
        <w:t xml:space="preserve">13.3 Stabilita pásma po letech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Roční výnosy podle šířky pásma 8–30 bps. Modrý rámeček = naše pásmo 20.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pásmo (bps)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výnos celkem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+29 %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+39 %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+38 %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+51 %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+80 %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+91 %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+66 %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+58 %</w:t>
            </w:r>
          </w:p>
        </w:tc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+50 %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Celá rodina pásem je zisková → koncept není náhoda jedné hodnoty. ALE: pásmo 20 sedí přesně na </w:t>
      </w:r>
      <w:r>
        <w:rPr>
          <w:b/>
          <w:bCs/>
        </w:rPr>
        <w:t xml:space="preserve">vrcholu</w:t>
      </w:r>
      <w:r>
        <w:t xml:space="preserve"> křivky (18 → +80, 20 → +91, 22 → +66). Vrchol je vždy zčásti klika — realistické očekávání je průměr okolí (+50–80 %), ne peak. Tohle „peak varování“ se nám později hodilo dvakrát.</w:t>
      </w:r>
    </w:p>
    <w:p>
      <w:pPr>
        <w:pStyle w:val="Heading2"/>
        <w:spacing w:after="120" w:before="280"/>
      </w:pPr>
      <w:r>
        <w:t xml:space="preserve">13.4 Velká 2D mapa: overfitting check podle referenčních obrázků</w:t>
      </w:r>
    </w:p>
    <w:p>
      <w:pPr>
        <w:spacing w:after="140"/>
        <w:jc w:val="both"/>
      </w:pPr>
      <w:r>
        <w:t xml:space="preserve">Uživatel přinesl dva učebnicové obrázky: overfit = jeden světlý pixel v šumu; robustní = široká světlá plošina. Postavili jsme totéž pro naši strategii: 12 šířek pásma × 8 vzdáleností TP = </w:t>
      </w:r>
      <w:r>
        <w:rPr>
          <w:b/>
          <w:bCs/>
        </w:rPr>
        <w:t xml:space="preserve">96 kombinací</w:t>
      </w:r>
      <w:r>
        <w:t xml:space="preserve"> v jednom běhu.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96 kombinací (pásmo × TP). Světlá zóna = zisk. Křížek = nasazená konfigurace (pásmo 20, bez TP).</w:t>
      </w:r>
    </w:p>
    <w:p>
      <w:pPr>
        <w:spacing w:after="140"/>
        <w:jc w:val="both"/>
      </w:pPr>
      <w:r>
        <w:t xml:space="preserve">Výsledek: </w:t>
      </w:r>
      <w:r>
        <w:rPr>
          <w:b/>
          <w:bCs/>
        </w:rPr>
        <w:t xml:space="preserve">všech 96 buněk ziskových</w:t>
      </w:r>
      <w:r>
        <w:t xml:space="preserve"> (nejslabší +5 %), souvislá světlá zóna pásem 16–24 s volným/žádným TP (+66 až +91 %). Podél TP osy dokonale hladký gradient (TP 40 bodů → +5 %, TP 250 → +77 %, bez TP → +91 %) — další nezávislé potvrzení, že TP škodí. Verdikt: </w:t>
      </w:r>
      <w:r>
        <w:rPr>
          <w:b/>
          <w:bCs/>
        </w:rPr>
        <w:t xml:space="preserve">plošina, ne spike</w:t>
      </w:r>
      <w:r>
        <w:t xml:space="preserve"> — ale nasazená buňka je opět globální maximum, takže platí peak varování.</w:t>
      </w:r>
    </w:p>
    <w:p>
      <w:pPr>
        <w:pStyle w:val="Heading1"/>
        <w:spacing w:after="160" w:before="400"/>
      </w:pPr>
      <w:r>
        <w:t xml:space="preserve">14. Proč strategie 2019–2020 stagnovala</w:t>
      </w:r>
    </w:p>
    <w:p>
      <w:pPr>
        <w:spacing w:after="140"/>
        <w:jc w:val="both"/>
      </w:pPr>
      <w:r>
        <w:t xml:space="preserve">Na equity křivce je vidět dvouleté mrtvé období (uživatel ho označil přímo v grafu). Rozbor ukázal dvě různé příčiny: </w:t>
      </w:r>
      <w:r>
        <w:rPr>
          <w:b/>
          <w:bCs/>
        </w:rPr>
        <w:t xml:space="preserve">2019</w:t>
      </w:r>
      <w:r>
        <w:t xml:space="preserve"> = nejnižší volatilita vzorku, trh lezl nahoru po milimetrech, žádné vnitrodenní trendy, samé whipsawy (+4,5 %). </w:t>
      </w:r>
      <w:r>
        <w:rPr>
          <w:b/>
          <w:bCs/>
        </w:rPr>
        <w:t xml:space="preserve">2020</w:t>
      </w:r>
      <w:r>
        <w:t xml:space="preserve"> = paradox: obrovská volatilita (COVID), ale limit „1 obchod denně“ znamenal, že první signál často padl v šíleném otevření, okamžitě dostal stopku — a den skončil; odpolední trend jsme sledovali z lavičky (−3,3 %). Důkaz: varianta bez limitu vydělala 2020 +13,7 % — </w:t>
      </w:r>
      <w:r>
        <w:rPr>
          <w:b/>
          <w:bCs/>
        </w:rPr>
        <w:t xml:space="preserve">ztrátu způsobil limit, ne signál.</w:t>
      </w:r>
      <w:r>
        <w:t xml:space="preserve"> Tohle poznání nastartovalo vylepšovací fáze.</w:t>
      </w:r>
    </w:p>
    <w:p>
      <w:pPr>
        <w:pStyle w:val="Heading1"/>
        <w:spacing w:after="160" w:before="400"/>
      </w:pPr>
      <w:r>
        <w:t xml:space="preserve">15. Mezihra: evoluce TradingView indikátoru (v1 → v3)</w:t>
      </w:r>
    </w:p>
    <w:p>
      <w:pPr>
        <w:spacing w:after="140"/>
        <w:jc w:val="both"/>
      </w:pPr>
      <w:r>
        <w:t xml:space="preserve">Souběžně s výzkumem vznikal nástroj pro živé sledování. Každá verze reagovala na konkrétní požadavek nebo chybu — i tohle je součást cesty: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v1</w:t>
      </w:r>
      <w:r>
        <w:t xml:space="preserve"> — základní verze: VWAP, pásmo ±20 bps, BUY/SELL šipky, v otevřeném obchodě se SL strana pásma barvila červeně.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v2, krok 1</w:t>
      </w:r>
      <w:r>
        <w:t xml:space="preserve"> — požadavek: SL nekreslit jako pohyblivé pásmo, ale pevnou čáru, + zelená TP čára na 148,75 bodu.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v2, krok 2</w:t>
      </w:r>
      <w:r>
        <w:t xml:space="preserve"> — požadavek: čáry obchodů dělat </w:t>
      </w:r>
      <w:r>
        <w:rPr>
          <w:b/>
          <w:bCs/>
        </w:rPr>
        <w:t xml:space="preserve">krátké</w:t>
      </w:r>
      <w:r>
        <w:t xml:space="preserve"> (od vstupu po výstup), ne nekonečné — aby na grafu zůstala čitelná historie všech obchodů. Při implementaci jsme chytili zákeřnou chybu: čáry starých obchodů se „přitahovaly“ k novým vstupům; oprava = příznak živého obchodu (trActive).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v2, krok 3</w:t>
      </w:r>
      <w:r>
        <w:t xml:space="preserve"> — TP zmenšeno na polovinu (74,375) a zaveden limit 1 obchod denně (zrušen stop-and-reverse) — indikátor tím dohnal novou variantu strategie.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v2, krok 4</w:t>
      </w:r>
      <w:r>
        <w:t xml:space="preserve"> — bug report od uživatele: „historie nikdy neukazuje exit na TP, jen EOD nebo SL.“ Přesná diagnóza: TP čára byla jen namalovaná, poziční logika ji nevyhodnocovala. Oprava: dotek TP = skutečný exit + zelený diamant „TP“.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v3</w:t>
      </w:r>
      <w:r>
        <w:t xml:space="preserve"> — dva přepínatelné módy jako u staršího ORB indikátoru: „TP (fixní cíl)“ vs. „Pásmo (bez TP)“ — v pásmovém módu žádné čáry, místo nich se SL strana pásma barví červeně a strana ve směru obchodu zeleně. Cestou jsme chytili kompilační chybu Pine Scriptu (tloušťka čáry nesmí být proměnná) — oprava na pevnou tloušťku.</w:t>
      </w:r>
    </w:p>
    <w:p>
      <w:pPr>
        <w:spacing w:after="140"/>
        <w:jc w:val="both"/>
      </w:pPr>
      <w:r>
        <w:t xml:space="preserve">Vznikla i anglická kopie pro kamaráda uživatele a </w:t>
      </w:r>
      <w:r>
        <w:rPr>
          <w:b/>
          <w:bCs/>
        </w:rPr>
        <w:t xml:space="preserve">lokální Python backtester</w:t>
      </w:r>
      <w:r>
        <w:t xml:space="preserve"> (vwap_trend_backtest.py) — skript, který stejnou strategii přehraje na libovolném CSV s minutovými daty, s přepínači TP/plnění/náklady, aby si ji mohl kdokoliv nezávisle ověřit.</w:t>
      </w:r>
    </w:p>
    <w:p>
      <w:pPr>
        <w:pStyle w:val="Heading1"/>
        <w:spacing w:after="160" w:before="400"/>
      </w:pPr>
      <w:r>
        <w:t xml:space="preserve">16. Vylepšování — pravidla hry a Fáze A</w:t>
      </w:r>
    </w:p>
    <w:p>
      <w:pPr>
        <w:spacing w:after="140"/>
        <w:jc w:val="both"/>
      </w:pPr>
      <w:r>
        <w:t xml:space="preserve">Před vylepšováním jsme sepsali pravidla (předregistrace): vše jen na IS datech; vylepšení musí zvednout CAGR o ≥2 body NEBO výrazně srazit drawdown; musí držet ve většině let (≥5/8); sousední parametry musí souhlasit (žádný nový spike). Dvě hypotézy z kapitoly 14: </w:t>
      </w:r>
      <w:r>
        <w:rPr>
          <w:b/>
          <w:bCs/>
        </w:rPr>
        <w:t xml:space="preserve">H1</w:t>
      </w:r>
      <w:r>
        <w:t xml:space="preserve"> — přeskočit chaos otevření (vstup od 9:45/10:00/10:30); </w:t>
      </w:r>
      <w:r>
        <w:rPr>
          <w:b/>
          <w:bCs/>
        </w:rPr>
        <w:t xml:space="preserve">H2</w:t>
      </w:r>
      <w:r>
        <w:t xml:space="preserve"> — povolit další pokus po ranní stopce (max 2/4 obchody denně). Jeden běh: mřížka 4 časy × 3 limity = 12 variant + export pěti denních podmínek pro následnou analýzu.</w:t>
      </w:r>
    </w:p>
    <w:p>
      <w:pPr>
        <w:spacing w:after="140"/>
        <w:jc w:val="both"/>
      </w:pPr>
      <w:r>
        <w:t xml:space="preserve">Technická vsuvka (poctivost): první běh narazil na nezdokumentovaný </w:t>
      </w:r>
      <w:r>
        <w:rPr>
          <w:b/>
          <w:bCs/>
        </w:rPr>
        <w:t xml:space="preserve">limit 10 grafových sérií na backtest</w:t>
      </w:r>
      <w:r>
        <w:t xml:space="preserve"> — chtěli jsme 17, sedm jich platforma tiše zahodila. Oprava: roční mezisoučty všech variant přesunout do logů, do grafů jen nezbytné série — a jeden klik navíc.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varianta (vstup / max obchodů)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celkem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Sharpe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roky +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9:31 / 1 (baseline)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9:31 / 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+76,7 %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+7,6 %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−16,1 %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9:31 / 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+109,4 %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+10,0 %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9:45 / 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+65,7 %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−15,5 %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9:45 / 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+122,7 %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−16,7 %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9:45 / 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+135,2 %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38,0 %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 / 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+100,7 %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 / 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+112,4 %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−20,5 %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 / 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+113,8 %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−20,4 %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 / 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+42,4 %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−18,4 %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0,49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 / 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+102,1 %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−18,7 %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0,76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 / 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+125,9 %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−18,8 %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Mřížka 12 variant rozložená po letech — tady je vidět (ne)konzistence každé varianty.</w:t>
      </w:r>
    </w:p>
    <w:p>
      <w:pPr>
        <w:spacing w:after="140"/>
        <w:jc w:val="both"/>
      </w:pPr>
      <w:r>
        <w:rPr>
          <w:b/>
          <w:bCs/>
        </w:rPr>
        <w:t xml:space="preserve">Verdikt H2 (re-entry):</w:t>
      </w:r>
      <w:r>
        <w:t xml:space="preserve"> celkové výnosy nahoře, ale v přímém souboji s baseline vyhrává jen ve 4 z 8 let, Sharpe klesá (0,85 → 0,67–0,81), a hlavně: zisk dělají 2018/2020, zatímco 2023 a 2025 zhoršuje. Nesplňuje kritéria. </w:t>
      </w:r>
      <w:r>
        <w:rPr>
          <w:b/>
          <w:bCs/>
        </w:rPr>
        <w:t xml:space="preserve">Verdikt H1 (posun vstupu):</w:t>
      </w:r>
      <w:r>
        <w:t xml:space="preserve"> sloupec „max 1“ skáče 191 → 166 → 201 → 142 tisíc bez jakékoliv logiky = šum. Vstup 10:00 vypadá dobře (Sharpe 0,89, MDD −11,9), ale oba jeho sousedé jsou špatní → podezřelý spike, nevěříme mu.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Analýza podmínek: výnos strategie podle kvintilů pěti ranních veličin (rv20, gap, or5r, fhr, ptrend).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podmínka (kvintily Q1→Q5, bps/den)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poznámka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 (range 9:30–10:00)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+0,7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−0,8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−5,0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+6,2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+15,7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 = +3,6 — silné!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(overnight)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−0,9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+2,6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+6,0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+6,0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+3,3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Q1 záporný — náznak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ptrend (trendovost včerejška)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+5,8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+12,5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+4,2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−2,8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−2,8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inverzní — slabé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rv20 (20d volatilita)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+3,2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+5,8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+3,6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+4,7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−0,0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nic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or5r (range 9:30–9:35)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+2,3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+5,4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−3,4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šum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</w:rPr>
        <w:t xml:space="preserve">Analýza podmínek</w:t>
      </w:r>
      <w:r>
        <w:t xml:space="preserve"> (condition-first — nejdřív měř, pak testuj) našla zlato: dny s širokým rozpětím prvních 30 minut dávaly +16 bps/den (t = 3,6). Slabší náznak: overnight gap (nejmenší gapy = záporný kvintil). Logika: trend-following potřebuje dny s ranní energií.</w:t>
      </w:r>
    </w:p>
    <w:p>
      <w:pPr>
        <w:pStyle w:val="Heading1"/>
        <w:spacing w:after="160" w:before="400"/>
      </w:pPr>
      <w:r>
        <w:t xml:space="preserve">17. Fáze B: brány — slepá ulička č. 3 a nečekaný vítěz</w:t>
      </w:r>
    </w:p>
    <w:p>
      <w:pPr>
        <w:spacing w:after="140"/>
        <w:jc w:val="both"/>
      </w:pPr>
      <w:r>
        <w:t xml:space="preserve">Postavili jsme „brány“ (gate = podmínka, bez níž se ten den vůbec neobchoduje). Zásadní detail: prahy nejsou pevná čísla z celé historie (to by bylo nakukování do budoucnosti), ale </w:t>
      </w:r>
      <w:r>
        <w:rPr>
          <w:b/>
          <w:bCs/>
        </w:rPr>
        <w:t xml:space="preserve">klouzavý percentil posledních 250 dní počítaný jen z minulých dní</w:t>
      </w:r>
      <w:r>
        <w:t xml:space="preserve"> — přesně jak by se to počítalo živě. Základ: vstup 10:00, 1 obchod denně. Výsledky: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brána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celkem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Sharpe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roky vs. base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dní v trhu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 filtru (base)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+100,7 %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1944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 ≥ 40. pct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+91,4 %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0,95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1112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 ≥ 50. pct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+71,7 %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+7,2 %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931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 ≥ 60. pct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+62,1 %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−12,0 %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781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≥ 20. pct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+140,7 %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+12,0 %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1502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ptrend ≤ 60. pct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−7,5 %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1,13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1145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fhr50 + pt60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+71,9 %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+7,2 %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fhr50 + gap20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+85,5 %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1,01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fhr gate — náš favorit ze silného signálu — SELHAL.</w:t>
      </w:r>
      <w:r>
        <w:t xml:space="preserve"> Monotónně: čím přísnější práh, tím horší výsledek. Krásný kvintilový signál se jako obchodní pravidlo nepřenesl. Slepá ulička č.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gap gate — outsider — VYHRÁL.</w:t>
      </w:r>
      <w:r>
        <w:t xml:space="preserve"> Vynechat spodních 20 % dní podle nočního gapu: +141 %, Sharpe 1,21, 6/8 let, a hlavně zlepšil přesně podezřelé roky 2023 (+6,7 vs +1,2) a 2025 (−2,4 vs −8,3).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pt gate</w:t>
      </w:r>
      <w:r>
        <w:t xml:space="preserve"> výnos nezměnil, ale srazil drawdown na −7,5 % — zapsán jako tlumič rizika.</w:t>
      </w:r>
    </w:p>
    <w:p>
      <w:pPr>
        <w:pBdr>
          <w:left w:val="single" w:color="888888" w:sz="18" w:space="8"/>
        </w:pBdr>
        <w:spacing w:after="160"/>
        <w:ind w:left="480"/>
      </w:pPr>
      <w:r>
        <w:rPr>
          <w:i/>
          <w:iCs/>
        </w:rPr>
        <w:t xml:space="preserve">Lekce č. 4: Síla statistického signálu neznamená použitelnost pravidla — a nenápadný signál může být skvělé pravidlo. Testuj, nevěř.</w:t>
      </w:r>
    </w:p>
    <w:p>
      <w:pPr>
        <w:pStyle w:val="Heading1"/>
        <w:spacing w:after="160" w:before="400"/>
      </w:pPr>
      <w:r>
        <w:t xml:space="preserve">18. Fáze C: je gap gate náhoda? Test plošiny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Sweep prahu gap gate: výnos (modrá) a Sharpe (červená). Zelená zóna = plošina 15–30.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práh gapu (percentil)</w:t>
            </w:r>
          </w:p>
        </w:tc>
        <w:tc>
          <w:tcPr>
            <w:tcW w:type="dxa" w:w="234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celkem</w:t>
            </w:r>
          </w:p>
        </w:tc>
        <w:tc>
          <w:tcPr>
            <w:tcW w:type="dxa" w:w="234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Sharpe</w:t>
            </w:r>
          </w:p>
        </w:tc>
        <w:tc>
          <w:tcPr>
            <w:tcW w:type="dxa" w:w="234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roky vs. base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 filtru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+100,7 %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+91,3 %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0,88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+118,6 %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+140,7 %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1,21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+129,6 %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1,19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+137,4 %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1,25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+107,4 %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1,12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+ ptrend60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+109,1 %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1,27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4/8 (MDD −7,6 %)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Jeden vítězný práh může být klika, proto sweep celého okolí. Výsledek: </w:t>
      </w:r>
      <w:r>
        <w:rPr>
          <w:b/>
          <w:bCs/>
        </w:rPr>
        <w:t xml:space="preserve">plošina 15–30</w:t>
      </w:r>
      <w:r>
        <w:t xml:space="preserve"> s logickými kraji (10 skoro nefiltruje → jako base; 40 už řeže dobré dny). Přesně tvar „robustní strategie“. Podle peak lekce nasazujeme </w:t>
      </w:r>
      <w:r>
        <w:rPr>
          <w:b/>
          <w:bCs/>
        </w:rPr>
        <w:t xml:space="preserve">střed plošiny (25)</w:t>
      </w:r>
      <w:r>
        <w:t xml:space="preserve">, ne vrchol (20).</w:t>
      </w:r>
    </w:p>
    <w:p>
      <w:pPr>
        <w:pStyle w:val="Heading1"/>
        <w:spacing w:after="160" w:before="400"/>
      </w:pPr>
      <w:r>
        <w:t xml:space="preserve">19. Fáze D: test nezávislosti</w:t>
      </w:r>
    </w:p>
    <w:p>
      <w:pPr>
        <w:spacing w:after="140"/>
        <w:jc w:val="both"/>
      </w:pPr>
      <w:r>
        <w:t xml:space="preserve">Zbývala nepříjemná otázka: celé fáze B/C běžely na základu se vstupem 10:00 — který jsme sami označili za podezřelý spike. Je zásluha v bráně, nebo ve vstupu? Gap je znám už v 9:30, takže bránu lze aplikovat i na úplně původní vstup 9:31. Kontrolní kotvy (sanity): obě base varianty musely zreplikovat svá dřívější čísla na desetinu — sedělo.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Gap gate na obou vstupech: pomáhá oběma, ale velký zisk vyžaduje podezřelý vstup 10:00.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varianta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celkem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Sharpe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roky vs. svůj base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9:31 bez brány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−1,0 %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9:31 + gap15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+89,7 %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+8,6 %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−16,0 %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0,92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+2,7 %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9:31 + gap25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+102,2 %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−15,7 %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+4,1 %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 bez brány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+100,7 %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−8,3 %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 + gap15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+118,6 %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+10,6 %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1,07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−5,5 %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10:00 + gap25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+129,6 %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−11,3 %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1,19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6/8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−3,4 %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Odpověď: brána pomáhá i původnímu vstupu (Sharpe 0,85 → 1,05; rok 2025 otočen do plusu na obou větvích!), ale mírněji — CAGR jen +0,8 bodu, pod naším předregistrovaným prahem 2. Poctivý závěr: </w:t>
      </w:r>
      <w:r>
        <w:rPr>
          <w:b/>
          <w:bCs/>
        </w:rPr>
        <w:t xml:space="preserve">gap gate = skutečné, ale mírné vylepšení rizikového profilu.</w:t>
      </w:r>
      <w:r>
        <w:t xml:space="preserve"> Velká výnosová čísla (+141 %) vyžadují vratký 10:00 vstup a neslibujeme je.</w:t>
      </w:r>
    </w:p>
    <w:p>
      <w:pPr>
        <w:pStyle w:val="Heading1"/>
        <w:spacing w:after="160" w:before="400"/>
      </w:pPr>
      <w:r>
        <w:t xml:space="preserve">20. Fáze E: uzavírací běh a finální konfigurace</w:t>
      </w:r>
    </w:p>
    <w:p>
      <w:pPr>
        <w:spacing w:after="140"/>
        <w:jc w:val="both"/>
      </w:pPr>
      <w:r>
        <w:t xml:space="preserve">Poslední, předregistrovaný běh — potom konec ladění: (a) přidat pt bránu ke gap bráně (kritérium přijetí: MDD ↓ aspoň o 3 body, výnos ne horší než o 10 % relativně); (b) rozložit výsledky na long a short polovinu (jen popisně, žádné rozhodnutí).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Finální konfigurace: +117 %, CAGR 10,5 %, Sharpe 1,40, max drawdown −6,4 %.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varianta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celkem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CAGR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Sharpe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</w:t>
            </w:r>
          </w:p>
        </w:tc>
        <w:tc>
          <w:tcPr>
            <w:tcW w:type="dxa" w:w="1337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dní v trhu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základ 9:31 bez bran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+91,1 %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−17,2 %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1946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gap25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+102,2 %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+9,5 %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−15,7 %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1,05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37,8 %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1410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gap25 + trend60 (FINÁLNÍ)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+116,7 %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+10,5 %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−6,4 %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1,40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39,8 %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861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gap25, jen long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+65,8 %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+6,7 %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−6,8 %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0,84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1204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gap25, jen short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+25,0 %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+2,9 %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−18,3 %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0,39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1155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Kombinace obou bran předčila kritéria s obří rezervou: drawdown −15,7 → </w:t>
      </w:r>
      <w:r>
        <w:rPr>
          <w:b/>
          <w:bCs/>
        </w:rPr>
        <w:t xml:space="preserve">−6,4 %</w:t>
      </w:r>
      <w:r>
        <w:t xml:space="preserve"> (chtěli jsme 3 body, dostali 9,3) a výnos přitom </w:t>
      </w:r>
      <w:r>
        <w:rPr>
          <w:b/>
          <w:bCs/>
        </w:rPr>
        <w:t xml:space="preserve">vzrostl</w:t>
      </w:r>
      <w:r>
        <w:t xml:space="preserve">. Bonus, který jsme si nepředepsali: </w:t>
      </w:r>
      <w:r>
        <w:rPr>
          <w:b/>
          <w:bCs/>
        </w:rPr>
        <w:t xml:space="preserve">kladná ve všech 8 letech</w:t>
      </w:r>
      <w:r>
        <w:t xml:space="preserve"> (+18,5 / +1,5 / +8,8 / +10,9 / +13,6 / +7,7 / +15,1 / +6,0) — jediná varianta z ~35 testovaných, včetně opravených let 2020 a 2025. Cena: vzdává část zisku v silných letech (2022: +13,6 vs +20,4) a obchoduje jen ~61 % dní (~110 obchodů/rok).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Roční výnosy finální konfigurace — všech osm let v plusu.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Underwater graf: jak hluboko pod maximem účet kdy byl. Nejhůř −6,4 %.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Monte Carlo projekce roku dopředu: 500 scénářů, 87 % kladných, medián +11 %.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Mrak ročních scénářů: výnos × drawdown.</w:t>
      </w:r>
    </w:p>
    <w:p>
      <w:pPr>
        <w:spacing w:after="140"/>
        <w:jc w:val="both"/>
      </w:pPr>
      <w:r>
        <w:rPr>
          <w:b/>
          <w:bCs/>
        </w:rPr>
        <w:t xml:space="preserve">Long/short rozklad (popisný):</w:t>
      </w:r>
      <w:r>
        <w:t xml:space="preserve"> long +66 %, short +25 % — obě strany vydělávají a short pomáhá přesně v letech, kdy long trpí (2018: short +13,6 % když long −2,4 %; 2020 short kladný). Obě strany zůstávají.</w:t>
      </w:r>
    </w:p>
    <w:p>
      <w:pPr>
        <w:pStyle w:val="Heading2"/>
        <w:spacing w:after="120" w:before="280"/>
      </w:pPr>
      <w:r>
        <w:t xml:space="preserve">Finální pravidla (kompletní, jak je obchodovat)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Trh: NQ futures, 1minutový graf, seance 9:30–16:00 newyorského času.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Ráno v 9:30 dvě brány: (1) |overnight gap| ≥ 25. percentil posledních 250 dní; (2) včerejší trendovost |close−open|/(high−low) ≤ 60. percentil. Nesplněno → dnes se NEOBCHODUJE.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Od 9:31: 1min svíčka zavře nad VWAP +0,2 % → long; pod VWAP −0,2 % → short. Vstup na otevření další svíčky. Jen první signál dne.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Výstup: svíčka zavře za opačným pásmem, nebo 16:00 — co dřív. Žádný take-profit, žádné otáčení.</w:t>
      </w:r>
    </w:p>
    <w:p>
      <w:pPr>
        <w:spacing w:after="140"/>
        <w:jc w:val="both"/>
      </w:pPr>
      <w:r>
        <w:t xml:space="preserve">Realistická očekávání: historická čísla (Sharpe 1,40) jsou po ~35 testech na stejných datech nadsazená. Střízlivý odhad: </w:t>
      </w:r>
      <w:r>
        <w:rPr>
          <w:b/>
          <w:bCs/>
        </w:rPr>
        <w:t xml:space="preserve">Sharpe kolem 1,0, CAGR vysoké jednotky procent, drawdowny jednotky procent.</w:t>
      </w:r>
    </w:p>
    <w:p>
      <w:pPr>
        <w:pStyle w:val="Heading1"/>
        <w:spacing w:after="160" w:before="400"/>
      </w:pPr>
      <w:r>
        <w:t xml:space="preserve">21. Indikátor v4–v5: brány na živém grafu</w:t>
      </w:r>
    </w:p>
    <w:p>
      <w:pPr>
        <w:spacing w:after="140"/>
        <w:jc w:val="both"/>
      </w:pPr>
      <w:r>
        <w:t xml:space="preserve">Finální konfigurace se propsala do indikátoru ve dvou krocích. </w:t>
      </w:r>
      <w:r>
        <w:rPr>
          <w:b/>
          <w:bCs/>
        </w:rPr>
        <w:t xml:space="preserve">v4</w:t>
      </w:r>
      <w:r>
        <w:t xml:space="preserve"> přidala gap bránu: dnešní zakázaný den ukazuje červený nápis </w:t>
      </w:r>
      <w:r>
        <w:rPr>
          <w:b/>
          <w:bCs/>
        </w:rPr>
        <w:t xml:space="preserve">NO TRADE DAY</w:t>
      </w:r>
      <w:r>
        <w:t xml:space="preserve"> v rohu; historické zakázané dny dostávají červený štítek u svíčky 9:30 — kreslený </w:t>
      </w:r>
      <w:r>
        <w:rPr>
          <w:b/>
          <w:bCs/>
        </w:rPr>
        <w:t xml:space="preserve">zpětně</w:t>
      </w:r>
      <w:r>
        <w:t xml:space="preserve"> (až druhý den ráno), takže u aktuálního dne se nikdy neplete; brána se aktivuje po 60 dnech historie grafu. </w:t>
      </w:r>
      <w:r>
        <w:rPr>
          <w:b/>
          <w:bCs/>
        </w:rPr>
        <w:t xml:space="preserve">v5</w:t>
      </w:r>
      <w:r>
        <w:t xml:space="preserve"> přidala trend bránu, důvod zákazu do nápisu (gap / trend / gap+trend), řádek stavu bran do info panelu, alert na zakázaný den — a defaultní mód přepnut na „Pásmo“ (finální konfigurace TP nemá). Obě jazykové verze (CZ/EN) jsou v repozitáři.</w:t>
      </w:r>
    </w:p>
    <w:p>
      <w:pPr>
        <w:pStyle w:val="Heading1"/>
        <w:spacing w:after="160" w:before="400"/>
      </w:pPr>
      <w:r>
        <w:t xml:space="preserve">22. Otázka OOS — a rozhodnutí, které jsme neudělali</w:t>
      </w:r>
    </w:p>
    <w:p>
      <w:pPr>
        <w:spacing w:after="140"/>
        <w:jc w:val="both"/>
      </w:pPr>
      <w:r>
        <w:t xml:space="preserve">Na závěr přišla přirozená otázka: „nemůžeme finální verzi prohnat OOS daty, co jsou k dispozici?“ Poctivá analýza: okno říjen 2025 – duben 2026 už tahle rodina viděla (R3 + robustnost), takže pro brány by to bylo „pološpinavé“ OOS — slabší důkaz, ale ne bezcenný. Připravili jsme kompletní předregistraci (co přesně se spustí, jak se výsledek přečte: pod −8 % = červená vlajka; kladné a ≥ base = mírná podpora; jinak neinformativní) — a uživatel se rozhodl </w:t>
      </w:r>
      <w:r>
        <w:rPr>
          <w:b/>
          <w:bCs/>
        </w:rPr>
        <w:t xml:space="preserve">test nespouštět</w:t>
      </w:r>
      <w:r>
        <w:t xml:space="preserve">. To je legitimní a zaznamenané rozhodnutí: špinavé okno by stejně nic nerozhodlo a čisté alternativy existují: (1) </w:t>
      </w:r>
      <w:r>
        <w:rPr>
          <w:b/>
          <w:bCs/>
        </w:rPr>
        <w:t xml:space="preserve">paper trading</w:t>
      </w:r>
      <w:r>
        <w:t xml:space="preserve"> podle indikátoru — každý nový den je čistý test; (2) nejnovější ~3 měsíce dat, které platforma nemá (duben–červenec 2026), přehrát lokálním backtesterem; (3) čekat, až času přibude. Zvolena cesta 1 + trpělivost. Vylepšovací kapitola formálně uzavřena.</w:t>
      </w:r>
    </w:p>
    <w:p>
      <w:pPr>
        <w:pStyle w:val="Heading1"/>
        <w:spacing w:after="160" w:before="400"/>
      </w:pPr>
      <w:r>
        <w:t xml:space="preserve">23. Lekce celé cesty (shrnutí pro budoucí já)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Náklady rozhodují.</w:t>
      </w:r>
      <w:r>
        <w:t xml:space="preserve"> 40% CAGR z článku je po reálných nákladech na jiném trhu −35 %. Testuj s konzervativními náklady.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 rate klame.</w:t>
      </w:r>
      <w:r>
        <w:t xml:space="preserve"> 80% úspěšnost prodělávala, 37% vydělávala. Rozhoduje součin četnosti a velikosti výher/ztrát.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Nech vítěze běžet.</w:t>
      </w:r>
      <w:r>
        <w:t xml:space="preserve"> Tři nezávislé testy (TP-grid, TP varianta, TP osa 2D mapy) potvrdily: useknutí velkých výher zabíjí trend-following.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Plošina &gt; vrchol.</w:t>
      </w:r>
      <w:r>
        <w:t xml:space="preserve"> Věř parametrům, jejichž sousedé fungují taky. Nasazuj střed plošiny (proto gap 25, ne 20) — peak je částečně náhoda.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Silný signál ≠ dobré pravidlo.</w:t>
      </w:r>
      <w:r>
        <w:t xml:space="preserve"> Nejsilnější signál (fhr, t=3,6) jako filtr selhal; nenápadný gap vyhrál. Testuj vše.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Krátké OOS nic nedokazuje.</w:t>
      </w:r>
      <w:r>
        <w:t xml:space="preserve"> Bootstrap: půlroční okno = 45/55 mincovní hod. Žádné silné závěry, ani pozitivní.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Předregistruj kritéria.</w:t>
      </w:r>
      <w:r>
        <w:t xml:space="preserve"> „Co je úspěch“ sepsat PŘED testem — jediná ochrana před sebeklamem. Použili jsme u R3, TP-gridu, fází A–E i u nespuštěného semi-OOS.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Kontroluj řetěz závislostí.</w:t>
      </w:r>
      <w:r>
        <w:t xml:space="preserve"> Fáze D vznikla jen proto, že jsme si pamatovali, že 10:00 základ je podezřelý. Vylepšení je jen tak dobré jako jeho nejslabší předpoklad.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Přiznávej technická omezení.</w:t>
      </w:r>
      <w:r>
        <w:t xml:space="preserve"> Jeden uzel, ruční klikání, limit sérií, konec dat v dubnu 2026 — vše ovlivnilo design experimentů a patří do zápisu.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Ukončuj kapitoly.</w:t>
      </w:r>
      <w:r>
        <w:t xml:space="preserve"> Každý další test na stejných datech zvyšuje riziko přeučení. V jednu chvíli je třeba říct dost a nechat rozhodnout realitu.</w:t>
      </w:r>
    </w:p>
    <w:p>
      <w:pPr>
        <w:pStyle w:val="Heading1"/>
        <w:spacing w:after="160" w:before="400"/>
      </w:pPr>
      <w:r>
        <w:t xml:space="preserve">Příloha A: přehled všech běhů na QuantConnect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projekt (ID)</w:t>
            </w:r>
          </w:p>
        </w:tc>
        <w:tc>
          <w:tcPr>
            <w:tcW w:type="dxa" w:w="312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účel</w:t>
            </w:r>
          </w:p>
        </w:tc>
        <w:tc>
          <w:tcPr>
            <w:tcW w:type="dxa" w:w="312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klíčový výsledek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 (34170904)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 replikace, R2 překlad, TP-grid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QQQ PASS; SPY/ES FAIL; TP monotónně škodí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vwap_trend_1td (34240773)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obchod/den, band vs TP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+89 % vs +21 %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vwap_trend_robust (34242424)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fan + mrak + roční heatmapa + OOS čára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+1,29 % (30. pct); pásmo 20 = peak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vwap_trend_grid2d (34243168)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2D mapa pásmo × TP, 96 buněk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plošina, vše kladné, TP gradient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vwap_trend_improve (34266528)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Fáze A: 12 variant + podmínky (2 běhy kvůli limitu sérií)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 šum, H2 nekonzistentní; fhr t=3,6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vwap_trend_improveB (34266984)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Fáze B: brány fhr/gap/pt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fhr FAIL; gap20 +141 %; pt60 MDD −7,5 %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vwap_trend_improveC (34267097)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Fáze C: sweep prahu gapu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plošina 15–30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vwap_trend_improveD (34267284)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Fáze D: nezávislost na vstupu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 mírný na 9:31 (+0,8 CAGR, Sharpe 1,05)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vwap_trend_improveE (34267822)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Fáze E: uzavírací běh + L/S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FINÁLNÍ: Sharpe 1,40, MDD −6,4 %, 8/8 let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t xml:space="preserve">Všechny kódy, playbooky, obrázky i tento dokument jsou v git repozitáři Strong-Chicken-Journal. Výzkumná kapitola VWAP Trend je uzavřena; pokračuje paper trading.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c85850e029df2ca6d2b033dcc7c2f5032aa6c9.png"/><Relationship Id="rId8" Type="http://schemas.openxmlformats.org/officeDocument/2006/relationships/image" Target="media/f42a2e4bebe695510cca0fd79be841fd65938502.png"/><Relationship Id="rId9" Type="http://schemas.openxmlformats.org/officeDocument/2006/relationships/image" Target="media/b8e9ebfb6a6bd9c8e4a76434eddbffb1143afa11.png"/><Relationship Id="rId10" Type="http://schemas.openxmlformats.org/officeDocument/2006/relationships/image" Target="media/21484eba37a3c05f8772f83ac8fa965cef139eb2.png"/><Relationship Id="rId11" Type="http://schemas.openxmlformats.org/officeDocument/2006/relationships/image" Target="media/c423afb7b92281069f776e7fe7a6fcf17617d42b.png"/><Relationship Id="rId12" Type="http://schemas.openxmlformats.org/officeDocument/2006/relationships/image" Target="media/30e6d9ac01db8b8a1f523a83110caf6ec99c47a7.png"/><Relationship Id="rId13" Type="http://schemas.openxmlformats.org/officeDocument/2006/relationships/image" Target="media/1cbd461f49cdb1f4509d0ef64762e893fa54494a.png"/><Relationship Id="rId14" Type="http://schemas.openxmlformats.org/officeDocument/2006/relationships/image" Target="media/9cd9ee589273e6d5e4409804268f059a2dc9299f.png"/><Relationship Id="rId15" Type="http://schemas.openxmlformats.org/officeDocument/2006/relationships/image" Target="media/c297d0d5cdd0666401bf2ba5906b4851e8bf0e9c.png"/><Relationship Id="rId16" Type="http://schemas.openxmlformats.org/officeDocument/2006/relationships/image" Target="media/e45d3992ebd2d5ff28364517270ebb05370c0e7a.png"/><Relationship Id="rId17" Type="http://schemas.openxmlformats.org/officeDocument/2006/relationships/image" Target="media/029ca48acc251738f2a7403942a849f3a368d022.png"/><Relationship Id="rId18" Type="http://schemas.openxmlformats.org/officeDocument/2006/relationships/image" Target="media/097c304f1b17d3aa7145e8a4931675c684325e07.png"/><Relationship Id="rId19" Type="http://schemas.openxmlformats.org/officeDocument/2006/relationships/image" Target="media/68debd8a3effef81b5a6e82d9275890966bae7c6.png"/><Relationship Id="rId20" Type="http://schemas.openxmlformats.org/officeDocument/2006/relationships/image" Target="media/b7d7c9cd9593a3dcedec54af11c2e6c792b59bec.png"/><Relationship Id="rId21" Type="http://schemas.openxmlformats.org/officeDocument/2006/relationships/image" Target="media/b3ae213dc59c7cc689ad6495d9768f42037a8a7b.png"/><Relationship Id="rId22" Type="http://schemas.openxmlformats.org/officeDocument/2006/relationships/image" Target="media/de65363a54be3a76c2fd9c15769615bdc1046596.png"/><Relationship Id="rId23" Type="http://schemas.openxmlformats.org/officeDocument/2006/relationships/image" Target="media/9df357f940f1ac3d68146aeb0547ee9c7a310bd3.png"/><Relationship Id="rId24" Type="http://schemas.openxmlformats.org/officeDocument/2006/relationships/image" Target="media/51830b50d2dc38f87cce4177269f735dfdd2b07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2026-07-18T22:23:10.222Z</dcterms:created>
  <dcterms:modified xsi:type="dcterms:W3CDTF">2026-07-18T22:23:10.234Z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