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3000"/>
        <w:jc w:val="center"/>
      </w:pPr>
      <w:r>
        <w:rPr>
          <w:b/>
          <w:bCs/>
          <w:sz w:val="56"/>
          <w:szCs w:val="56"/>
        </w:rPr>
        <w:t xml:space="preserve">Cesta za VWAP Trend strategií</w:t>
      </w:r>
    </w:p>
    <w:p>
      <w:pPr>
        <w:spacing w:after="200"/>
        <w:jc w:val="center"/>
      </w:pPr>
      <w:r>
        <w:rPr>
          <w:color w:val="555555"/>
          <w:sz w:val="28"/>
          <w:szCs w:val="28"/>
        </w:rPr>
        <w:t xml:space="preserve">Kompletní příběh výzkumu — od vědeckého článku k finální obchodní strategii</w:t>
      </w:r>
    </w:p>
    <w:p>
      <w:pPr>
        <w:spacing w:after="200"/>
        <w:jc w:val="center"/>
      </w:pPr>
      <w:r>
        <w:rPr>
          <w:color w:val="555555"/>
          <w:sz w:val="28"/>
          <w:szCs w:val="28"/>
        </w:rPr>
        <w:t xml:space="preserve">Projekt Strong Chicken Journal • NQ futures • 2018–2026</w:t>
      </w:r>
    </w:p>
    <w:p>
      <w:pPr>
        <w:spacing w:after="200"/>
        <w:jc w:val="center"/>
      </w:pPr>
      <w:r>
        <w:rPr>
          <w:color w:val="555555"/>
          <w:sz w:val="28"/>
          <w:szCs w:val="28"/>
        </w:rPr>
        <w:t xml:space="preserve">Psáno pro úplné začátečníky — každý pojem je vysvětlen</w:t>
      </w:r>
    </w:p>
    <w:p>
      <w:r>
        <w:br w:type="page"/>
      </w:r>
    </w:p>
    <w:p>
      <w:pPr>
        <w:pStyle w:val="Heading1"/>
        <w:spacing w:after="160" w:before="400"/>
      </w:pPr>
      <w:r>
        <w:t xml:space="preserve">1. Úvod — o čem tento dokument je</w:t>
      </w:r>
    </w:p>
    <w:p>
      <w:pPr>
        <w:spacing w:after="140"/>
        <w:jc w:val="both"/>
      </w:pPr>
      <w:r>
        <w:t xml:space="preserve">Tento dokument popisuje </w:t>
      </w:r>
      <w:r>
        <w:rPr>
          <w:b/>
          <w:bCs/>
        </w:rPr>
        <w:t xml:space="preserve">celou cestu</w:t>
      </w:r>
      <w:r>
        <w:t xml:space="preserve"> jednoho kvantitativního výzkumu: jak jsme vzali nápad z vědeckého článku, ověřili ho, rozbili ho, opravili, otestovali ze všech stran, několikrát narazili do zdi — a nakonec z něj vydestilovali obchodní strategii, která na historických datech vydělávala </w:t>
      </w:r>
      <w:r>
        <w:rPr>
          <w:b/>
          <w:bCs/>
        </w:rPr>
        <w:t xml:space="preserve">každý rok z osmi</w:t>
      </w:r>
      <w:r>
        <w:t xml:space="preserve"> a jejíž největší propad byl jen −6,4 %.</w:t>
      </w:r>
    </w:p>
    <w:p>
      <w:pPr>
        <w:spacing w:after="140"/>
        <w:jc w:val="both"/>
      </w:pPr>
      <w:r>
        <w:t xml:space="preserve">Píšeme ho tak, aby mu rozuměl </w:t>
      </w:r>
      <w:r>
        <w:rPr>
          <w:b/>
          <w:bCs/>
        </w:rPr>
        <w:t xml:space="preserve">úplný začátečník</w:t>
      </w:r>
      <w:r>
        <w:t xml:space="preserve">. Každý odborný pojem vysvětlíme hned, jak se poprvé objeví, a v kapitole 2 najdeš slovníček všech důležitých slov. Nic nezatajujeme — popisujeme </w:t>
      </w:r>
      <w:r>
        <w:rPr>
          <w:b/>
          <w:bCs/>
        </w:rPr>
        <w:t xml:space="preserve">všechny slepé uličky</w:t>
      </w:r>
      <w:r>
        <w:t xml:space="preserve">, všechny testy, které nevyšly, a všechna místa, kde jsme si mohli (a nechtěli) lhát do kapsy. Právě to odlišuje poctivý výzkum od marketingu: marketing ukazuje jen vítěze, výzkum ukazuje i hřbitov nápadů, na kterém vítěz stojí.</w:t>
      </w:r>
    </w:p>
    <w:p>
      <w:pPr>
        <w:spacing w:after="140"/>
        <w:jc w:val="both"/>
      </w:pPr>
      <w:r>
        <w:t xml:space="preserve">Jak výzkum prakticky probíhal: strategie jsme programovali v jazyce Python na platformě </w:t>
      </w:r>
      <w:r>
        <w:rPr>
          <w:b/>
          <w:bCs/>
        </w:rPr>
        <w:t xml:space="preserve">QuantConnect</w:t>
      </w:r>
      <w:r>
        <w:t xml:space="preserve"> (online služba, která má historická minutová data burzovních trhů a umí na nich simulovat obchodování), statistiku jsme počítali vlastními skripty a výsledné nástroje pro živé sledování trhu jsme postavili v </w:t>
      </w:r>
      <w:r>
        <w:rPr>
          <w:b/>
          <w:bCs/>
        </w:rPr>
        <w:t xml:space="preserve">TradingView</w:t>
      </w:r>
      <w:r>
        <w:t xml:space="preserve"> (populární webová aplikace na grafy). Vše je verzované v git repozitáři, každý test má dohledatelný záznam.</w:t>
      </w:r>
    </w:p>
    <w:p>
      <w:pPr>
        <w:pStyle w:val="Heading1"/>
        <w:spacing w:after="160" w:before="400"/>
      </w:pPr>
      <w:r>
        <w:t xml:space="preserve">2. Slovníček pro úplné začátečníky</w:t>
      </w:r>
    </w:p>
    <w:p>
      <w:pPr>
        <w:spacing w:after="140"/>
        <w:jc w:val="both"/>
      </w:pPr>
      <w:r>
        <w:t xml:space="preserve">Než začneme, vysvětlíme si základní pojmy. Klidně se sem vracej.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Futures (futures kontrakt)</w:t>
      </w:r>
      <w:r>
        <w:t xml:space="preserve"> — burzovní kontrakt, kterým sázíš na budoucí cenu něčeho (indexu, komodity). My obchodujeme </w:t>
      </w:r>
      <w:r>
        <w:rPr>
          <w:b/>
          <w:bCs/>
        </w:rPr>
        <w:t xml:space="preserve">NQ</w:t>
      </w:r>
      <w:r>
        <w:t xml:space="preserve"> = futures na index Nasdaq-100 (100 největších amerických technologických firem). Cena NQ se hýbe v bodech; jeden bod = 20 dolarů zisku/ztráty na kontrakt.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Long / Short</w:t>
      </w:r>
      <w:r>
        <w:t xml:space="preserve"> — long = sázka na růst (koupím, pak prodám dráž). Short = sázka na pokles (prodám půjčené, pak koupím levněji). Futures umožňují obojí stejně snadno.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RTH (Regular Trading Hours)</w:t>
      </w:r>
      <w:r>
        <w:t xml:space="preserve"> — hlavní obchodní hodiny americké burzy: 9:30–16:00 newyorského času. Mimo ně trh také běží (noc, ráno), ale s menší aktivitou.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VWAP (Volume-Weighted Average Price)</w:t>
      </w:r>
      <w:r>
        <w:t xml:space="preserve"> — průměrná cena dne vážená objemem obchodů. Lidsky: „průměrná cena, za kterou dnes všichni reálně nakupovali a prodávali“. Je to nejsledovanější vnitrodenní „férová cena“ — velcí hráči podle ní měří, jestli nakoupili draze, nebo levně.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Bps (bazický bod)</w:t>
      </w:r>
      <w:r>
        <w:t xml:space="preserve"> — setina procenta. 20 bps = 0,20 %. Používáme, protože vnitrodenní pohyby jsou malé.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Backtest</w:t>
      </w:r>
      <w:r>
        <w:t xml:space="preserve"> — simulace strategie na historických datech: „kdybych takhle obchodoval posledních 8 let, jak bych dopadl?“ Backtest nikdy nedokazuje budoucnost, jen popisuje minulost.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In-sample (IS) / Out-of-sample (OOS)</w:t>
      </w:r>
      <w:r>
        <w:t xml:space="preserve"> — klíčové rozlišení celého dokumentu. IS = data, na kterých strategii vyvíjíš a ladíš. OOS = data, která sis schoval stranou a NIKDY ses na ně během vývoje nepodíval. Jen výsledek na OOS je skutečný test — na IS si vždycky tak trochu „píšeš písemku, ke které máš tahák“.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Overfitting (přeučení)</w:t>
      </w:r>
      <w:r>
        <w:t xml:space="preserve"> — nejnebezpečnější past kvantitativního výzkumu. Když zkoušíš dost variant, nějaká bude na minulých datech vypadat skvěle čistou náhodou — naladil jsi strategii na šum minulosti, ne na skutečný jev. Poznávacím znakem je, že funguje jen jedna přesná hodnota parametru (izolovaný „spike“) a sousední hodnoty 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Equity curve (křivka kapitálu)</w:t>
      </w:r>
      <w:r>
        <w:t xml:space="preserve"> — graf hodnoty účtu v čase. Chceš, aby rostla co nejplynuleji.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CAGR</w:t>
      </w:r>
      <w:r>
        <w:t xml:space="preserve"> — průměrný roční výnos se složeným úročením. „CAGR 10 %“ = účet roste průměrně o 10 % ročně.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Max drawdown (MDD)</w:t>
      </w:r>
      <w:r>
        <w:t xml:space="preserve"> — největší propad účtu od vrcholu ke dnu, v procentech. Měří bolest: MDD −20 % znamená, že jsi v nejhorším momentě byl 20 % pod svým maximem. Pro tradery u prop firem je to nejdůležitější číslo — velký drawdown znamená vyhazov.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Sharpe ratio</w:t>
      </w:r>
      <w:r>
        <w:t xml:space="preserve"> — výnos vydělený kolísavostí. Měří „kolik výnosu dostávám za jednotku houpání“. Sharpe 1,0 je slušný, 1,4 velmi dobrý, 2+ podezřele skvělý.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 rate (úspěšnost)</w:t>
      </w:r>
      <w:r>
        <w:t xml:space="preserve"> — procento ziskových obchodů. Pozor: </w:t>
      </w:r>
      <w:r>
        <w:rPr>
          <w:b/>
          <w:bCs/>
        </w:rPr>
        <w:t xml:space="preserve">vysoký win rate neznamená ziskovou strategii</w:t>
      </w:r>
      <w:r>
        <w:t xml:space="preserve"> — tuhle lekci v dokumentu uvidíš hned dvakrát.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Stop-loss (SL) / Take-profit (TP)</w:t>
      </w:r>
      <w:r>
        <w:t xml:space="preserve"> — SL = předem daná úroveň, kde ztrátový obchod uzavřeš. TP = úroveň, kde bereš zisk.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Overnight gap</w:t>
      </w:r>
      <w:r>
        <w:t xml:space="preserve"> — rozdíl mezi dnešní otevírací cenou (9:30) a včerejší zavírací (16:00). Přes noc se trh hýbe (Asie, Evropa, zprávy) — ráno „skočí“.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Monte Carlo / bootstrap</w:t>
      </w:r>
      <w:r>
        <w:t xml:space="preserve"> — statistická metoda: z historických denních výnosů náhodně losuješ (s vracením) tisíce alternativních scénářů „jak to mohlo dopadnout“. Ukazuje rozptyl možných budoucností místo jedné křivky.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Percentil</w:t>
      </w:r>
      <w:r>
        <w:t xml:space="preserve"> — pozice v rozdělení. „30. percentil“ = 30 % scénářů dopadlo hůř, 70 % lépe.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Prop firma</w:t>
      </w:r>
      <w:r>
        <w:t xml:space="preserve"> — společnost, která traderovi svěří svůj kapitál za podíl na zisku, ale s přísným limitem na drawdown.</w:t>
      </w:r>
    </w:p>
    <w:p>
      <w:r>
        <w:br w:type="page"/>
      </w:r>
    </w:p>
    <w:p>
      <w:pPr>
        <w:pStyle w:val="Heading1"/>
        <w:spacing w:after="160" w:before="400"/>
      </w:pPr>
      <w:r>
        <w:t xml:space="preserve">3. Výchozí bod: vědecký článek</w:t>
      </w:r>
    </w:p>
    <w:p>
      <w:pPr>
        <w:spacing w:after="140"/>
        <w:jc w:val="both"/>
      </w:pPr>
      <w:r>
        <w:t xml:space="preserve">Všechno začalo článkem </w:t>
      </w:r>
      <w:r>
        <w:rPr>
          <w:b/>
          <w:bCs/>
        </w:rPr>
        <w:t xml:space="preserve">Zarattini &amp; Aziz: „VWAP: The Holy Grail for Day Trading Systems“</w:t>
      </w:r>
      <w:r>
        <w:t xml:space="preserve"> (SSRN 4631351). Autoři v něm tvrdí, že jednoduchá vnitrodenní strategie sledující trend vůči VWAP dosahovala na ETF QQQ (fond kopírující Nasdaq-100) výjimečných výsledků: přes 40 % ročně při Sharpe kolem 2.</w:t>
      </w:r>
    </w:p>
    <w:p>
      <w:pPr>
        <w:spacing w:after="140"/>
        <w:jc w:val="both"/>
      </w:pPr>
      <w:r>
        <w:t xml:space="preserve">Pravidla článku v kostce: každou minutu se dívej, jestli je cena nad, nebo pod VWAP. Když svíčka </w:t>
      </w:r>
      <w:r>
        <w:rPr>
          <w:b/>
          <w:bCs/>
        </w:rPr>
        <w:t xml:space="preserve">zavře nad</w:t>
      </w:r>
      <w:r>
        <w:t xml:space="preserve"> VWAP, drž long; když </w:t>
      </w:r>
      <w:r>
        <w:rPr>
          <w:b/>
          <w:bCs/>
        </w:rPr>
        <w:t xml:space="preserve">zavře pod</w:t>
      </w:r>
      <w:r>
        <w:t xml:space="preserve">, drž short (okamžité otočení pozice — tzv. stop-and-reverse). Na konci dne vše uzavři (žádné držení přes noc). Jde o </w:t>
      </w:r>
      <w:r>
        <w:rPr>
          <w:b/>
          <w:bCs/>
        </w:rPr>
        <w:t xml:space="preserve">trend-following</w:t>
      </w:r>
      <w:r>
        <w:t xml:space="preserve">: nesnažíš se uhádnout obrat, jen jedeš s proudem.</w:t>
      </w:r>
    </w:p>
    <w:p>
      <w:pPr>
        <w:spacing w:after="140"/>
        <w:jc w:val="both"/>
      </w:pPr>
      <w:r>
        <w:t xml:space="preserve">Titulek „Svatý grál“ je samozřejmě reklama. Naše otázka zněla: </w:t>
      </w:r>
      <w:r>
        <w:rPr>
          <w:b/>
          <w:bCs/>
        </w:rPr>
        <w:t xml:space="preserve">je na tom něco pravdy, a přežije to kontakt s realitou</w:t>
      </w:r>
      <w:r>
        <w:t xml:space="preserve"> (poplatky, skluz v plnění, jiné trhy)? To je přesně práce pro replikaci.</w:t>
      </w:r>
    </w:p>
    <w:p>
      <w:pPr>
        <w:pStyle w:val="Heading1"/>
        <w:spacing w:after="160" w:before="400"/>
      </w:pPr>
      <w:r>
        <w:t xml:space="preserve">4. Krok R1: Replikace — ověření, že článek nelže</w:t>
      </w:r>
    </w:p>
    <w:p>
      <w:pPr>
        <w:spacing w:after="140"/>
        <w:jc w:val="both"/>
      </w:pPr>
      <w:r>
        <w:rPr>
          <w:b/>
          <w:bCs/>
        </w:rPr>
        <w:t xml:space="preserve">Replikace</w:t>
      </w:r>
      <w:r>
        <w:t xml:space="preserve"> znamená: naprogramovat pravidla článku přesně podle textu a ověřit, že dostaneme stejná čísla. Bez toho nemá smysl pokračovat — půlka „zázračných“ strategií z internetu padne už tady.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metrika</w:t>
            </w:r>
          </w:p>
        </w:tc>
        <w:tc>
          <w:tcPr>
            <w:tcW w:type="dxa" w:w="312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QQQ náš test</w:t>
            </w:r>
          </w:p>
        </w:tc>
        <w:tc>
          <w:tcPr>
            <w:tcW w:type="dxa" w:w="312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QQQ článek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celkový výnos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611,6 %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671 %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CAGR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40,8 %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43 %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Sharpe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2,0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2,1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 drawdown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8,8 %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9,4 %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win rate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17,4 %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~17 %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počet obchodů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23 360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~21 967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rPr>
          <w:b/>
          <w:bCs/>
        </w:rPr>
        <w:t xml:space="preserve">Verdikt: článek nelže.</w:t>
      </w:r>
      <w:r>
        <w:t xml:space="preserve"> Čísla sedí prakticky přesně. Všimni si zvláštnosti: win rate jen 17 % — strategie prohrává 5 obchodů ze 6! Přesto vydělává, protože průměrná výhra je 5,5× větší než průměrná ztráta. To je DNA trend-followingu: </w:t>
      </w:r>
      <w:r>
        <w:rPr>
          <w:b/>
          <w:bCs/>
        </w:rPr>
        <w:t xml:space="preserve">hodně malých ztrát, občas obrovská výhra.</w:t>
      </w:r>
      <w:r>
        <w:t xml:space="preserve"> Zapamatuj si to, bude to klíč k několika pozdějším omylům.</w:t>
      </w:r>
    </w:p>
    <w:p>
      <w:pPr>
        <w:spacing w:after="140"/>
        <w:jc w:val="both"/>
      </w:pPr>
      <w:r>
        <w:t xml:space="preserve">U pákového fondu TQQQ jsme našli rozdíl (náš výsledek nižší než v článku), ale dohledali jsme přesnou příčinu: článek počítá poplatky za akcii na cenách před rozdělením akcií (tzv. split), což poplatek uměle zmenšuje. Datový artefakt, ne chyba pravidel.</w:t>
      </w:r>
    </w:p>
    <w:p>
      <w:pPr>
        <w:pStyle w:val="Heading1"/>
        <w:spacing w:after="160" w:before="400"/>
      </w:pPr>
      <w:r>
        <w:t xml:space="preserve">5. Krok R2: Překlad na S&amp;P 500 — slepá ulička č. 1</w:t>
      </w:r>
    </w:p>
    <w:p>
      <w:pPr>
        <w:spacing w:after="140"/>
        <w:jc w:val="both"/>
      </w:pPr>
      <w:r>
        <w:t xml:space="preserve">My ale nechceme obchodovat fond QQQ, nýbrž futures (ES = S&amp;P 500, případně NQ). Tak jsme pravidla přenesli na ES a SPY a — poprvé narazili. Tvrdě.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scénář</w:t>
            </w:r>
          </w:p>
        </w:tc>
        <w:tc>
          <w:tcPr>
            <w:tcW w:type="dxa" w:w="312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SPY CAGR</w:t>
            </w:r>
          </w:p>
        </w:tc>
        <w:tc>
          <w:tcPr>
            <w:tcW w:type="dxa" w:w="312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 CAGR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hrubý výnos (bez nákladů)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+9,8 %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+12,0 %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 optimistickými náklady (0,4 bps/obchod)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−8,0 %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−6,1 %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 konzervativními náklady (1,2 bps/obchod)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−35,5 %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−34,1 %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prosté držení SPY (srovnání)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+14,3 %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Dvě zdrcující zjištění. </w:t>
      </w:r>
      <w:r>
        <w:rPr>
          <w:b/>
          <w:bCs/>
        </w:rPr>
        <w:t xml:space="preserve">Za prvé:</w:t>
      </w:r>
      <w:r>
        <w:t xml:space="preserve"> hrubý edge (výhoda) je na S&amp;P 4× slabší než na Nasdaqu — vnitrodenní trendovost je zřejmě vlastnost technologického indexu, ne trhů obecně. </w:t>
      </w:r>
      <w:r>
        <w:rPr>
          <w:b/>
          <w:bCs/>
        </w:rPr>
        <w:t xml:space="preserve">Za druhé — a to je důležitější lekce:</w:t>
      </w:r>
      <w:r>
        <w:t xml:space="preserve"> strategie dělá ~17,5 obchodu denně. I nepatrný náklad na obchod (poplatek + skluz) krát 17,5 krát 250 dní ročně = obrovský průběžný odvod. Článek de facto předpokládá obchodování zadarmo.</w:t>
      </w:r>
    </w:p>
    <w:p>
      <w:pPr>
        <w:pBdr>
          <w:left w:val="single" w:color="888888" w:sz="18" w:space="8"/>
        </w:pBdr>
        <w:spacing w:after="160"/>
        <w:ind w:left="480"/>
      </w:pPr>
      <w:r>
        <w:rPr>
          <w:i/>
          <w:iCs/>
        </w:rPr>
        <w:t xml:space="preserve">Lekce č. 1: Náklady nejsou detail. U vysokofrekvenčních strategií rozhodují o životě a smrti. Každý backtest bez realistických nákladů je pohádka.</w:t>
      </w:r>
    </w:p>
    <w:p>
      <w:pPr>
        <w:pStyle w:val="Heading1"/>
        <w:spacing w:after="160" w:before="400"/>
      </w:pPr>
      <w:r>
        <w:t xml:space="preserve">6. Krok R4: Záchrana na NQ — hysterezní pásmo</w:t>
      </w:r>
    </w:p>
    <w:p>
      <w:pPr>
        <w:spacing w:after="140"/>
        <w:jc w:val="both"/>
      </w:pPr>
      <w:r>
        <w:t xml:space="preserve">Jádro nápadu (jet s vnitrodenním trendem) na Nasdaqu žije — zabíjejí ho náklady z přílišného počtu obchodů. Řešení: </w:t>
      </w:r>
      <w:r>
        <w:rPr>
          <w:b/>
          <w:bCs/>
        </w:rPr>
        <w:t xml:space="preserve">hysterezní pásmo</w:t>
      </w:r>
      <w:r>
        <w:t xml:space="preserve">. Místo reagování na každé překročení VWAP nakreslíme kolem VWAP pásmo ±20 bps (0,2 %) a jednáme, až když cena zavře </w:t>
      </w:r>
      <w:r>
        <w:rPr>
          <w:b/>
          <w:bCs/>
        </w:rPr>
        <w:t xml:space="preserve">za</w:t>
      </w:r>
      <w:r>
        <w:t xml:space="preserve"> pásmem. Slovo „hystereze“ je z fyziky: systém nereaguje na malé podněty, jen na velké — filtr šumu.</w:t>
      </w:r>
    </w:p>
    <w:p>
      <w:pPr>
        <w:spacing w:after="140"/>
        <w:jc w:val="both"/>
      </w:pPr>
      <w:r>
        <w:t xml:space="preserve">Efekt byl dramatický: z 16 obchodů denně zbylo </w:t>
      </w:r>
      <w:r>
        <w:rPr>
          <w:b/>
          <w:bCs/>
        </w:rPr>
        <w:t xml:space="preserve">2,5</w:t>
      </w:r>
      <w:r>
        <w:t xml:space="preserve">, a strategie se s plnými konzervativními náklady přehoupla do zisku (CAGR +9,5 %). Diagnostika ukázala proč: 77 % původních obchodů byly „whipsawy“ — otočky do 15 minut, které v souhrnu prodělaly stovky procent. Pásmo je vyfiltrovalo. Zároveň jsme potvrdili druhou stranu mince: </w:t>
      </w:r>
      <w:r>
        <w:rPr>
          <w:b/>
          <w:bCs/>
        </w:rPr>
        <w:t xml:space="preserve">top 1 % obchodů neslo 2–3,6násobek celkového zisku.</w:t>
      </w:r>
      <w:r>
        <w:t xml:space="preserve"> Bez vzácných velkých vítězů strategie neexistuje.</w:t>
      </w:r>
    </w:p>
    <w:p>
      <w:pPr>
        <w:pStyle w:val="Heading1"/>
        <w:spacing w:after="160" w:before="400"/>
      </w:pPr>
      <w:r>
        <w:t xml:space="preserve">7. Krok R3: Jednorázový test na neviděných datech</w:t>
      </w:r>
    </w:p>
    <w:p>
      <w:pPr>
        <w:spacing w:after="140"/>
        <w:jc w:val="both"/>
      </w:pPr>
      <w:r>
        <w:t xml:space="preserve">Od začátku výzkumu jsme měli </w:t>
      </w:r>
      <w:r>
        <w:rPr>
          <w:b/>
          <w:bCs/>
        </w:rPr>
        <w:t xml:space="preserve">zamčené OOS okno</w:t>
      </w:r>
      <w:r>
        <w:t xml:space="preserve">: data od 1. října 2025 dál, na která jsme si zakázali sáhnout. Teď přišel čas je jednorázově použít — s předem sepsanými pravidly (tzv. frozen spec): jaká přesně konfigurace se testuje a jak se výsledek vyhodnotí, sepsáno PŘED spuštěním, aby se nedalo nic ohýbat zpětně.</w:t>
      </w:r>
    </w:p>
    <w:p>
      <w:pPr>
        <w:spacing w:after="140"/>
        <w:jc w:val="both"/>
      </w:pPr>
      <w:r>
        <w:t xml:space="preserve">Výsledek: hrubý výnos +1,87 %, po optimistických nákladech +1,11 %, po konzervativních </w:t>
      </w:r>
      <w:r>
        <w:rPr>
          <w:b/>
          <w:bCs/>
        </w:rPr>
        <w:t xml:space="preserve">−1,33 %</w:t>
      </w:r>
      <w:r>
        <w:t xml:space="preserve">. Podle předregistrovaných pásem: </w:t>
      </w:r>
      <w:r>
        <w:rPr>
          <w:b/>
          <w:bCs/>
        </w:rPr>
        <w:t xml:space="preserve">NEJEDNOZNAČNÉ</w:t>
      </w:r>
      <w:r>
        <w:t xml:space="preserve">. Mechanika strategie fungovala (počet obchodů i win rate odpovídaly očekávání), ale okno bylo krátké (140 dní) a výsledek slabší než historie.</w:t>
      </w:r>
    </w:p>
    <w:p>
      <w:pPr>
        <w:pBdr>
          <w:left w:val="single" w:color="888888" w:sz="18" w:space="8"/>
        </w:pBdr>
        <w:spacing w:after="160"/>
        <w:ind w:left="480"/>
      </w:pPr>
      <w:r>
        <w:rPr>
          <w:i/>
          <w:iCs/>
        </w:rPr>
        <w:t xml:space="preserve">Lekce č. 2: Krátké OOS okno je mincovní hod. Statisticky nedokáže odlišit „strategie funguje“ od „strategie je mrtvá“. K tomu se ještě vrátíme u Monte Carla.</w:t>
      </w:r>
    </w:p>
    <w:p>
      <w:pPr>
        <w:pStyle w:val="Heading1"/>
        <w:spacing w:after="160" w:before="400"/>
      </w:pPr>
      <w:r>
        <w:t xml:space="preserve">8. Diagnóza D1: Kdy strategie vydělává?</w:t>
      </w:r>
    </w:p>
    <w:p>
      <w:pPr>
        <w:spacing w:after="140"/>
        <w:jc w:val="both"/>
      </w:pPr>
      <w:r>
        <w:t xml:space="preserve">Místo dalšího ladění jsme se ptali: </w:t>
      </w:r>
      <w:r>
        <w:rPr>
          <w:b/>
          <w:bCs/>
        </w:rPr>
        <w:t xml:space="preserve">v jakých podmínkách edge žije?</w:t>
      </w:r>
      <w:r>
        <w:t xml:space="preserve"> Rozklad po letech ukázal jasný vzorec: edge koreluje s volatilitou trhu (korelace +0,62). Nejklidnější rok vzorku (2019, volatilita 11,9 %) = nejslabší edge; divoké roky (2020, 2022) = nejsilnější. Dává to smysl: trend-following potřebuje pohyb.</w:t>
      </w:r>
    </w:p>
    <w:p>
      <w:pPr>
        <w:spacing w:after="140"/>
        <w:jc w:val="both"/>
      </w:pPr>
      <w:r>
        <w:t xml:space="preserve">Ale našli jsme i varování: roky 2025–2026 dodávaly </w:t>
      </w:r>
      <w:r>
        <w:rPr>
          <w:b/>
          <w:bCs/>
        </w:rPr>
        <w:t xml:space="preserve">méně edge, než by jejich volatilita předpovídala</w:t>
      </w:r>
      <w:r>
        <w:t xml:space="preserve">. To může být otisk „crowdingu“ — když stejný jev obchoduje moc lidí, vytrácí se. Tohle podezření jsme si zapsali jako věc, kterou musí hlídat každé budoucí vyhodnocení.</w:t>
      </w:r>
    </w:p>
    <w:p>
      <w:pPr>
        <w:pStyle w:val="Heading1"/>
        <w:spacing w:after="160" w:before="400"/>
      </w:pPr>
      <w:r>
        <w:t xml:space="preserve">9. Diagnóza D2: Monte Carlo a mapa parametrů</w:t>
      </w:r>
    </w:p>
    <w:p>
      <w:pPr>
        <w:spacing w:after="140"/>
        <w:jc w:val="both"/>
      </w:pPr>
      <w:r>
        <w:t xml:space="preserve">Dvě otázky: (1) Kolik z OOS výsledku −1,33 % je šum? (2) Není konfigurace přeučená na jednu šťastnou hodnotu parametru?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Monte Carlo: rozdělení možných výsledků strategie (10 000 přehraných scénářů z historických obchodů).</w:t>
      </w:r>
    </w:p>
    <w:p>
      <w:pPr>
        <w:spacing w:after="140"/>
        <w:jc w:val="both"/>
      </w:pPr>
      <w:r>
        <w:t xml:space="preserve">Bootstrap odpověděl na první otázku brutálně upřímně: při délce našeho OOS okna je </w:t>
      </w:r>
      <w:r>
        <w:rPr>
          <w:b/>
          <w:bCs/>
        </w:rPr>
        <w:t xml:space="preserve">45 % náhodných scénářů kladných a 55 % záporných</w:t>
      </w:r>
      <w:r>
        <w:t xml:space="preserve"> — výsledek −1,33 % je tedy prakticky celý šum. Okno nemělo sílu nic rozhodnout.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Vějíř equity křivek z Monte Carla — takhle široký je rozptyl možných osudů té samé strategie.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Mapa parametrů (šířka pásma × síla vol-targetingu): jeden velký souvislý ostrov dobrých hodnot = zdravé znamení.</w:t>
      </w:r>
    </w:p>
    <w:p>
      <w:pPr>
        <w:spacing w:after="140"/>
        <w:jc w:val="both"/>
      </w:pPr>
      <w:r>
        <w:t xml:space="preserve">Druhá otázka dopadla dobře: dobré parametry tvoří </w:t>
      </w:r>
      <w:r>
        <w:rPr>
          <w:b/>
          <w:bCs/>
        </w:rPr>
        <w:t xml:space="preserve">jeden velký souvislý ostrov</w:t>
      </w:r>
      <w:r>
        <w:t xml:space="preserve"> (60 % mřížky), ne izolovaný bod. Naše konfigurace v něm sedí. Kdyby fungovala jen jedna přesná hodnota, byl by to overfitting jak z učebnice.</w:t>
      </w:r>
    </w:p>
    <w:p>
      <w:pPr>
        <w:pStyle w:val="Heading1"/>
        <w:spacing w:after="160" w:before="400"/>
      </w:pPr>
      <w:r>
        <w:t xml:space="preserve">10. Slepá ulička č. 2: fixní take-profit</w:t>
      </w:r>
    </w:p>
    <w:p>
      <w:pPr>
        <w:spacing w:after="140"/>
        <w:jc w:val="both"/>
      </w:pPr>
      <w:r>
        <w:t xml:space="preserve">Přišel lákavý nápad: „přidejme pevný cíl zisku, ať máme vyšší úspěšnost a menší rozptyl.“ Otestovali jsme TP na 0,25×, 0,5× a 1× rizika obchodu: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varianta</w:t>
            </w:r>
          </w:p>
        </w:tc>
        <w:tc>
          <w:tcPr>
            <w:tcW w:type="dxa" w:w="312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win rate</w:t>
            </w:r>
          </w:p>
        </w:tc>
        <w:tc>
          <w:tcPr>
            <w:tcW w:type="dxa" w:w="312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CAGR (po nákladech)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TP = 0,25× riziko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79,6 %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−11,3 %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TP = 0,5× riziko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66,3 %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−6,8 %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TP = 1× riziko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51,3 %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−1,2 %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bez TP (původní)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36,4 %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+9,5 %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Podívej se na tu tabulku pozorně, protože je to jedna z nejcennějších lekcí celého výzkumu: </w:t>
      </w:r>
      <w:r>
        <w:rPr>
          <w:b/>
          <w:bCs/>
        </w:rPr>
        <w:t xml:space="preserve">čím vyšší win rate, tím větší ztráta.</w:t>
      </w:r>
      <w:r>
        <w:t xml:space="preserve"> TP s 80% úspěšností prodělává 11 % ročně! Proč? Vzpomeň na DNA trend-followingu: zisk dělá pár obrovských vítězů. Fixní TP je systematicky usekává („utrhne květinu, zaleje plevel“) a nechá běžet jen ztráty.</w:t>
      </w:r>
    </w:p>
    <w:p>
      <w:pPr>
        <w:pBdr>
          <w:left w:val="single" w:color="888888" w:sz="18" w:space="8"/>
        </w:pBdr>
        <w:spacing w:after="160"/>
        <w:ind w:left="480"/>
      </w:pPr>
      <w:r>
        <w:rPr>
          <w:i/>
          <w:iCs/>
        </w:rPr>
        <w:t xml:space="preserve">Lekce č. 3: Win rate je marketingové číslo. Strategie s 80% úspěšností může spolehlivě bankrotovat, strategie s 36% úspěšností spolehlivě vydělávat.</w:t>
      </w:r>
    </w:p>
    <w:p>
      <w:pPr>
        <w:pStyle w:val="Heading1"/>
        <w:spacing w:after="160" w:before="400"/>
      </w:pPr>
      <w:r>
        <w:t xml:space="preserve">11. Nová varianta: jeden obchod denně</w:t>
      </w:r>
    </w:p>
    <w:p>
      <w:pPr>
        <w:spacing w:after="140"/>
        <w:jc w:val="both"/>
      </w:pPr>
      <w:r>
        <w:t xml:space="preserve">Pro reálné obchodování jsme strategii přetvořili do praktičtější podoby: </w:t>
      </w:r>
      <w:r>
        <w:rPr>
          <w:b/>
          <w:bCs/>
        </w:rPr>
        <w:t xml:space="preserve">jeden obchod denně</w:t>
      </w:r>
      <w:r>
        <w:t xml:space="preserve">. Pravidla: od 9:31 čekej, až svíčka zavře za pásmem VWAP ±20 bps → vstup ve směru průrazu. Exit: close za opačným pásmem, nebo konec dne (16:00). Žádné otáčení, žádný druhý pokus. Tato varianta se stala základem všeho dalšího.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Equity křivka varianty „jeden obchod denně“: +89 % za 7,7 roku, win rate 36,9 %.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Srovnání: bez TP (modrá) vs. s pevným TP 74,4 bodu (červená). TP opět snižuje výnos — potvrzení lekce č. 3 v novém kabátě.</w:t>
      </w:r>
    </w:p>
    <w:p>
      <w:pPr>
        <w:spacing w:after="140"/>
        <w:jc w:val="both"/>
      </w:pPr>
      <w:r>
        <w:t xml:space="preserve">Čísla: </w:t>
      </w:r>
      <w:r>
        <w:rPr>
          <w:b/>
          <w:bCs/>
        </w:rPr>
        <w:t xml:space="preserve">+89 % celkem, CAGR 8,6 %, max drawdown −17,2 %, 1 946 obchodů, win rate 36,9 %.</w:t>
      </w:r>
      <w:r>
        <w:t xml:space="preserve"> Pro srovnání jsme přidali i verzi s reálným TP — a znovu: TP zvedl win rate na 47 %, srazil drawdown, ale výnos snížil na čtvrtinu. Poctivá poznámka: prosté držení indexu Nasdaq za stejné období vydělalo víc — přidaná hodnota strategie není v hrubém výnosu, ale v </w:t>
      </w:r>
      <w:r>
        <w:rPr>
          <w:b/>
          <w:bCs/>
        </w:rPr>
        <w:t xml:space="preserve">polovičním drawdownu, nulovém nočním riziku a schopnosti vydělávat i na poklesech</w:t>
      </w:r>
      <w:r>
        <w:t xml:space="preserve"> (short větev).</w:t>
      </w:r>
    </w:p>
    <w:p>
      <w:pPr>
        <w:pStyle w:val="Heading1"/>
        <w:spacing w:after="160" w:before="400"/>
      </w:pPr>
      <w:r>
        <w:t xml:space="preserve">12. Test robustnosti: fan chart, mrak a heatmapy</w:t>
      </w:r>
    </w:p>
    <w:p>
      <w:pPr>
        <w:spacing w:after="140"/>
        <w:jc w:val="both"/>
      </w:pPr>
      <w:r>
        <w:t xml:space="preserve">Než čemukoliv uvěříš, musíš to zkusit rozbít. Provedli jsme čtyři testy:</w:t>
      </w:r>
    </w:p>
    <w:p>
      <w:pPr>
        <w:pStyle w:val="Heading2"/>
        <w:spacing w:after="120" w:before="280"/>
      </w:pPr>
      <w:r>
        <w:t xml:space="preserve">12.1 Spaghetti fan chart — realita vs. očekávání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500 náhodně přehraných scénářů (barevné čáry) a skutečný výsledek na nejnovějších datech (žlutá čára).</w:t>
      </w:r>
    </w:p>
    <w:p>
      <w:pPr>
        <w:spacing w:after="140"/>
        <w:jc w:val="both"/>
      </w:pPr>
      <w:r>
        <w:t xml:space="preserve">Vzali jsme historické denní výnosy, nagenerovali 500 alternativních budoucností a přes ně nakreslili </w:t>
      </w:r>
      <w:r>
        <w:rPr>
          <w:b/>
          <w:bCs/>
        </w:rPr>
        <w:t xml:space="preserve">skutečný</w:t>
      </w:r>
      <w:r>
        <w:t xml:space="preserve"> výsledek z nejnovějších dat (říjen 2025 – duben 2026): </w:t>
      </w:r>
      <w:r>
        <w:rPr>
          <w:b/>
          <w:bCs/>
        </w:rPr>
        <w:t xml:space="preserve">+1,29 %, tedy 30. percentil</w:t>
      </w:r>
      <w:r>
        <w:t xml:space="preserve">. Čti: realita se drží uvnitř vějíře očekávání, ale pod jeho středem — edge je, ale slabší, než sliboval průměr historie.</w:t>
      </w:r>
    </w:p>
    <w:p>
      <w:pPr>
        <w:pStyle w:val="Heading2"/>
        <w:spacing w:after="120" w:before="280"/>
      </w:pPr>
      <w:r>
        <w:t xml:space="preserve">12.2 Mrak výsledků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Každá tečka = jeden scénář (svisle výnos, vodorovně největší propad). Hvězda = skutečnost. 74 % scénářů kladných.</w:t>
      </w:r>
    </w:p>
    <w:p>
      <w:pPr>
        <w:pStyle w:val="Heading2"/>
        <w:spacing w:after="120" w:before="280"/>
      </w:pPr>
      <w:r>
        <w:t xml:space="preserve">12.3 Stabilita parametru po letech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Roční výnosy podle šířky pásma. Modrý rámeček = naše pásmo 20 bps.</w:t>
      </w:r>
    </w:p>
    <w:p>
      <w:pPr>
        <w:pStyle w:val="Heading2"/>
        <w:spacing w:after="120" w:before="280"/>
      </w:pPr>
      <w:r>
        <w:t xml:space="preserve">12.4 Velká 2D mapa: overfitting check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96 kombinací (šířka pásma × vzdálenost TP). Světlá zóna = zisk. Křížek = naše konfigurace.</w:t>
      </w:r>
    </w:p>
    <w:p>
      <w:pPr>
        <w:spacing w:after="140"/>
        <w:jc w:val="both"/>
      </w:pPr>
      <w:r>
        <w:t xml:space="preserve">Tohle je vizuální test overfittingu: přeučená strategie vypadá jako </w:t>
      </w:r>
      <w:r>
        <w:rPr>
          <w:b/>
          <w:bCs/>
        </w:rPr>
        <w:t xml:space="preserve">jeden světlý pixel v temném šumu</w:t>
      </w:r>
      <w:r>
        <w:t xml:space="preserve">; robustní jako </w:t>
      </w:r>
      <w:r>
        <w:rPr>
          <w:b/>
          <w:bCs/>
        </w:rPr>
        <w:t xml:space="preserve">široká světlá plošina</w:t>
      </w:r>
      <w:r>
        <w:t xml:space="preserve">. Naše mapa ukázala plošinu — všech 96 kombinací kladných, široká jasná zóna. Jedno varování ale zůstalo: naše pásmo 20 bps sedí přesně na </w:t>
      </w:r>
      <w:r>
        <w:rPr>
          <w:b/>
          <w:bCs/>
        </w:rPr>
        <w:t xml:space="preserve">vrcholu</w:t>
      </w:r>
      <w:r>
        <w:t xml:space="preserve"> té plošiny. Vrchol je vždy tak trochu šťastná náhoda — realistické očekávání je průměr okolí, ne peak.</w:t>
      </w:r>
    </w:p>
    <w:p>
      <w:pPr>
        <w:pStyle w:val="Heading1"/>
        <w:spacing w:after="160" w:before="400"/>
      </w:pPr>
      <w:r>
        <w:t xml:space="preserve">13. Proč strategie 2019–2020 stagnovala</w:t>
      </w:r>
    </w:p>
    <w:p>
      <w:pPr>
        <w:spacing w:after="140"/>
        <w:jc w:val="both"/>
      </w:pPr>
      <w:r>
        <w:t xml:space="preserve">Na equity křivce je vidět dvouleté mrtvé období. Rozbor ukázal dvě různé příčiny: </w:t>
      </w:r>
      <w:r>
        <w:rPr>
          <w:b/>
          <w:bCs/>
        </w:rPr>
        <w:t xml:space="preserve">2019</w:t>
      </w:r>
      <w:r>
        <w:t xml:space="preserve"> byl rok s nejnižší volatilitou vzorku — trh lezl nahoru po milimetrech, žádné vnitrodenní trendy, samé whipsawy (+4,5 %). </w:t>
      </w:r>
      <w:r>
        <w:rPr>
          <w:b/>
          <w:bCs/>
        </w:rPr>
        <w:t xml:space="preserve">2020</w:t>
      </w:r>
      <w:r>
        <w:t xml:space="preserve"> je paradox: obrovská volatilita (COVID), ale náš limit „1 obchod denně“ znamenal, že první signál často padl v šíleném otevření, okamžitě dostal stopku — a den skončil. Odpolední trend už jsme sledovali z lavičky (−3,3 %). Varianta bez limitu ten rok vydělala +13,7 % — ztrátu způsobil limit, ne signál. Tohle poznání se stalo motorem další kapitoly.</w:t>
      </w:r>
    </w:p>
    <w:p>
      <w:pPr>
        <w:pStyle w:val="Heading1"/>
        <w:spacing w:after="160" w:before="400"/>
      </w:pPr>
      <w:r>
        <w:t xml:space="preserve">14. Vylepšování — Fáze A: mechanika a podmínky</w:t>
      </w:r>
    </w:p>
    <w:p>
      <w:pPr>
        <w:spacing w:after="140"/>
        <w:jc w:val="both"/>
      </w:pPr>
      <w:r>
        <w:t xml:space="preserve">Pustili jsme se do vylepšování — ale s pravidly sepsanými předem: vše jen na IS datech (OOS už neexistovalo), vylepšení musí zvednout CAGR o 2 body NEBO výrazně srazit drawdown, musí držet ve většině let, a sousední hodnoty parametrů musí souhlasit. Dvě hypotézy z předchozí kapitoly: </w:t>
      </w:r>
      <w:r>
        <w:rPr>
          <w:b/>
          <w:bCs/>
        </w:rPr>
        <w:t xml:space="preserve">H1</w:t>
      </w:r>
      <w:r>
        <w:t xml:space="preserve"> — přeskočit chaotické otevření (vstup až od 9:45/10:00/10:30); </w:t>
      </w:r>
      <w:r>
        <w:rPr>
          <w:b/>
          <w:bCs/>
        </w:rPr>
        <w:t xml:space="preserve">H2</w:t>
      </w:r>
      <w:r>
        <w:t xml:space="preserve"> — povolit druhý pokus po ranní stopce (max 2–4 obchody denně).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Mřížka 12 variant (čas vstupu × max. počet obchodů) rozložená po letech.</w:t>
      </w:r>
    </w:p>
    <w:p>
      <w:pPr>
        <w:spacing w:after="140"/>
        <w:jc w:val="both"/>
      </w:pPr>
      <w:r>
        <w:t xml:space="preserve">Výsledek zchladil nadšení: </w:t>
      </w:r>
      <w:r>
        <w:rPr>
          <w:b/>
          <w:bCs/>
        </w:rPr>
        <w:t xml:space="preserve">H2</w:t>
      </w:r>
      <w:r>
        <w:t xml:space="preserve"> zvedala celkové výnosy, ale rok-po-roce vyhrávala jen ve 4 z 8 let a snižovala Sharpe — zisk dělaly hlavně 2018/2020, poslední roky škodila. Nesplnila kritéria. </w:t>
      </w:r>
      <w:r>
        <w:rPr>
          <w:b/>
          <w:bCs/>
        </w:rPr>
        <w:t xml:space="preserve">H1</w:t>
      </w:r>
      <w:r>
        <w:t xml:space="preserve"> se ukázala jako čistý šum (výsledky poskakovaly bez logiky). Jediný slibný bod — vstup od 10:00 — měl špatné sousedy, takže klasický podezřelý spike.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Analýza podmínek: průměrný denní výnos strategie podle kvintilů pěti ranních měřitelných veličin.</w:t>
      </w:r>
    </w:p>
    <w:p>
      <w:pPr>
        <w:spacing w:after="140"/>
        <w:jc w:val="both"/>
      </w:pPr>
      <w:r>
        <w:t xml:space="preserve">Zato </w:t>
      </w:r>
      <w:r>
        <w:rPr>
          <w:b/>
          <w:bCs/>
        </w:rPr>
        <w:t xml:space="preserve">analýza podmínek</w:t>
      </w:r>
      <w:r>
        <w:t xml:space="preserve"> („condition-first“ — nejdřív změř podmínky, pak testuj) našla zlato: dny s širokým rozpětím prvních 30 minut (fhr) dávaly strategii +16 bps denně (statisticky silné, t = 3,6), a slabší náznak měl i overnight gap. Logika: trend-following potřebuje dny s ranní energií.</w:t>
      </w:r>
    </w:p>
    <w:p>
      <w:pPr>
        <w:pStyle w:val="Heading1"/>
        <w:spacing w:after="160" w:before="400"/>
      </w:pPr>
      <w:r>
        <w:t xml:space="preserve">15. Fáze B: brány — slepá ulička č. 3 a nečekaný vítěz</w:t>
      </w:r>
    </w:p>
    <w:p>
      <w:pPr>
        <w:spacing w:after="140"/>
        <w:jc w:val="both"/>
      </w:pPr>
      <w:r>
        <w:t xml:space="preserve">Postavili jsme „brány“ (gate = podmínka, bez které se ten den vůbec neobchoduje). Prahy jsme počítali jako klouzavý percentil posledních 250 dní </w:t>
      </w:r>
      <w:r>
        <w:rPr>
          <w:b/>
          <w:bCs/>
        </w:rPr>
        <w:t xml:space="preserve">jen z minulých dat</w:t>
      </w:r>
      <w:r>
        <w:t xml:space="preserve"> — žádné nakukování do budoucnosti. A stalo se něco poučného: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fhr gate (náš favorit ze silného signálu) SELHAL.</w:t>
      </w:r>
      <w:r>
        <w:t xml:space="preserve"> Čím přísnější práh, tím horší výsledek (+91 % → +72 % → +62 % proti +101 % bez filtru). Krásný signál z analýzy se jako obchodní pravidlo nepřenesl. Slepá ulička č. 3 — a přesný důvod, proč se hypotézy testují, místo aby se jim věřilo.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gap gate (outsider) VYHRÁL.</w:t>
      </w:r>
      <w:r>
        <w:t xml:space="preserve"> Vynechat pouhých 20 % dní s nejmenším nočním gapem: výnos +141 %, Sharpe z 0,89 na 1,21, lepší v 6 z 8 let — a hlavně zlepšil právě poslední „podezřelé“ roky 2023 a 2025.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pt gate (vynechat den po silně trendovém dni)</w:t>
      </w:r>
      <w:r>
        <w:t xml:space="preserve"> výnos nezměnil, ale srazil drawdown na polovinu (−7,5 %). Zapsán jako tlumič rizika.</w:t>
      </w:r>
    </w:p>
    <w:p>
      <w:pPr>
        <w:pBdr>
          <w:left w:val="single" w:color="888888" w:sz="18" w:space="8"/>
        </w:pBdr>
        <w:spacing w:after="160"/>
        <w:ind w:left="480"/>
      </w:pPr>
      <w:r>
        <w:rPr>
          <w:i/>
          <w:iCs/>
        </w:rPr>
        <w:t xml:space="preserve">Lekce č. 4: Síla statistického signálu neznamená použitelnost pravidla. A naopak nenápadný signál může být skvělé pravidlo. Testuj, nevěř.</w:t>
      </w:r>
    </w:p>
    <w:p>
      <w:pPr>
        <w:pStyle w:val="Heading1"/>
        <w:spacing w:after="160" w:before="400"/>
      </w:pPr>
      <w:r>
        <w:t xml:space="preserve">16. Fáze C: je gap gate náhoda? Test plošiny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Sweep prahu gap gate: výnos (modrá) a Sharpe (červená) podle percentilu. Zelená zóna = funkční plošina 15–30.</w:t>
      </w:r>
    </w:p>
    <w:p>
      <w:pPr>
        <w:spacing w:after="140"/>
        <w:jc w:val="both"/>
      </w:pPr>
      <w:r>
        <w:t xml:space="preserve">Jeden vítězný práh může být klika. Přejeli jsme proto celé okolí: prahy 10, 15, 20, 25, 30, 40. Výsledek: </w:t>
      </w:r>
      <w:r>
        <w:rPr>
          <w:b/>
          <w:bCs/>
        </w:rPr>
        <w:t xml:space="preserve">plošina 15–30</w:t>
      </w:r>
      <w:r>
        <w:t xml:space="preserve"> (výnosy +119 až +141 %, Sharpe 1,07–1,25), s logickými kraji (práh 10 skoro nefiltruje, práh 40 už řeže dobré dny). Přesně tvar „robustní strategie“, ne osamělý pixel. Podle lekce z pásma jsme se rozhodli nasadit </w:t>
      </w:r>
      <w:r>
        <w:rPr>
          <w:b/>
          <w:bCs/>
        </w:rPr>
        <w:t xml:space="preserve">střed plošiny (25)</w:t>
      </w:r>
      <w:r>
        <w:t xml:space="preserve">, ne vrchol.</w:t>
      </w:r>
    </w:p>
    <w:p>
      <w:pPr>
        <w:pStyle w:val="Heading1"/>
        <w:spacing w:after="160" w:before="400"/>
      </w:pPr>
      <w:r>
        <w:t xml:space="preserve">17. Fáze D: test nezávislosti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Gap gate aplikovaný na oba časy vstupu — pomáhá oběma větvím, ale velký zisk vyžaduje podezřelý vstup 10:00.</w:t>
      </w:r>
    </w:p>
    <w:p>
      <w:pPr>
        <w:spacing w:after="140"/>
        <w:jc w:val="both"/>
      </w:pPr>
      <w:r>
        <w:t xml:space="preserve">Zbývala nepříjemná otázka: fáze B/C běžely na základu se vstupem od 10:00 — který jsme sami dřív označili za podezřelý spike. Je zásluha v bráně, nebo v tom vstupu? Test: gap gate na </w:t>
      </w:r>
      <w:r>
        <w:rPr>
          <w:b/>
          <w:bCs/>
        </w:rPr>
        <w:t xml:space="preserve">původním</w:t>
      </w:r>
      <w:r>
        <w:t xml:space="preserve"> vstupu 9:31. Odpověď: brána pomáhá i tam (Sharpe 0,85 → 1,05, rok 2025 z −1 % na +4 %), ale mírněji (CAGR jen +0,8 bodu — pod naším prahem 2). Poctivý závěr: </w:t>
      </w:r>
      <w:r>
        <w:rPr>
          <w:b/>
          <w:bCs/>
        </w:rPr>
        <w:t xml:space="preserve">gap gate = skutečné, ale mírné vylepšení rizikového profilu; velká výnosová čísla nemáme slibovat</w:t>
      </w:r>
      <w:r>
        <w:t xml:space="preserve">, protože stojí na vratkém základě.</w:t>
      </w:r>
    </w:p>
    <w:p>
      <w:pPr>
        <w:pStyle w:val="Heading1"/>
        <w:spacing w:after="160" w:before="400"/>
      </w:pPr>
      <w:r>
        <w:t xml:space="preserve">18. Fáze E: uzavírací běh a finální konfigurace</w:t>
      </w:r>
    </w:p>
    <w:p>
      <w:pPr>
        <w:spacing w:after="140"/>
        <w:jc w:val="both"/>
      </w:pPr>
      <w:r>
        <w:t xml:space="preserve">Poslední běh — předregistrovaný, po něm konec ladění: (a) přidat pt gate k gap gate, (b) rozložit výsledky na long a short polovinu.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Finální konfigurace: equity křivka. +117 %, CAGR 10,5 %, Sharpe 1,40, max drawdown −6,4 %.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varianta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výnos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CAGR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MDD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Sharpe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základ (9:31, bez bran)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+91 %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+8,7 %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−17,2 %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0,85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 gap gate 25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+102 %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+9,5 %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−15,7 %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1,05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 gap 25 + trend 60 (FINÁLNÍ)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+117 %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+10,5 %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−6,4 %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1,40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Kombinace obou bran předčila kritéria s velkou rezervou: drawdown spadl z −15,7 % na </w:t>
      </w:r>
      <w:r>
        <w:rPr>
          <w:b/>
          <w:bCs/>
        </w:rPr>
        <w:t xml:space="preserve">−6,4 %</w:t>
      </w:r>
      <w:r>
        <w:t xml:space="preserve"> (chtěli jsme aspoň o 3 body, dostali jsme 9,3) a výnos přitom </w:t>
      </w:r>
      <w:r>
        <w:rPr>
          <w:b/>
          <w:bCs/>
        </w:rPr>
        <w:t xml:space="preserve">vzrostl</w:t>
      </w:r>
      <w:r>
        <w:t xml:space="preserve">. A bonus, který jsme si nepředepsali: finální konfigurace je </w:t>
      </w:r>
      <w:r>
        <w:rPr>
          <w:b/>
          <w:bCs/>
        </w:rPr>
        <w:t xml:space="preserve">kladná ve všech 8 letech</w:t>
      </w:r>
      <w:r>
        <w:t xml:space="preserve"> — jediná z ~35 testovaných variant.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Roční výnosy finální konfigurace — všech osm let v plusu.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„Underwater“ graf: jak hluboko pod svým maximem účet kdy byl. Maximum −6,4 %.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Monte Carlo projekce roku dopředu: 500 scénářů, 87 % kladných, medián +11 %.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Mrak ročních scénářů: výnos × drawdown.</w:t>
      </w:r>
    </w:p>
    <w:p>
      <w:pPr>
        <w:spacing w:after="140"/>
        <w:jc w:val="both"/>
      </w:pPr>
      <w:r>
        <w:t xml:space="preserve">Rozklad na strany: long větev +66 %, short větev +25 % — </w:t>
      </w:r>
      <w:r>
        <w:rPr>
          <w:b/>
          <w:bCs/>
        </w:rPr>
        <w:t xml:space="preserve">obě vydělávají</w:t>
      </w:r>
      <w:r>
        <w:t xml:space="preserve"> a short pomáhá přesně v letech, kdy long trpí (2018, 2020). Obě strany zůstávají.</w:t>
      </w:r>
    </w:p>
    <w:p>
      <w:pPr>
        <w:pStyle w:val="Heading2"/>
        <w:spacing w:after="120" w:before="280"/>
      </w:pPr>
      <w:r>
        <w:t xml:space="preserve">Finální pravidla (kompletní, jak je obchodovat)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Trh: NQ futures, 1-minutový graf, hlavní seance 9:30–16:00 newyorského času.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Ráno v 9:30 spočti dvě brány: (1) |overnight gap| musí být aspoň 25. percentil posledních 250 dní; (2) včerejší trendovost |close−open|/(high−low) musí být pod 60. percentilem. Nesplněno → dnes se NEOBCHODUJE.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Od 9:31: když 1min svíčka zavře nad VWAP +0,2 % → long; pod VWAP −0,2 % → short. Vstup na otevření další svíčky. Jen první signál dne.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Výstup: svíčka zavře za opačným pásmem, nebo 16:00 — co nastane dřív. Žádný take-profit, žádné otáčení.</w:t>
      </w:r>
    </w:p>
    <w:p>
      <w:pPr>
        <w:spacing w:after="140"/>
        <w:jc w:val="both"/>
      </w:pPr>
      <w:r>
        <w:t xml:space="preserve">Očekávání na živých datech — realisticky: historická čísla (Sharpe 1,40) jsou po ~35 testech na stejných datech nadsazená. Střízlivý odhad: </w:t>
      </w:r>
      <w:r>
        <w:rPr>
          <w:b/>
          <w:bCs/>
        </w:rPr>
        <w:t xml:space="preserve">Sharpe kolem 1,0, CAGR vysoké jednotky procent, drawdowny jednotky procent, ~110 obchodů ročně.</w:t>
      </w:r>
    </w:p>
    <w:p>
      <w:pPr>
        <w:pStyle w:val="Heading1"/>
        <w:spacing w:after="160" w:before="400"/>
      </w:pPr>
      <w:r>
        <w:t xml:space="preserve">19. TradingView indikátor</w:t>
      </w:r>
    </w:p>
    <w:p>
      <w:pPr>
        <w:spacing w:after="140"/>
        <w:jc w:val="both"/>
      </w:pPr>
      <w:r>
        <w:t xml:space="preserve">Celou finální konfiguraci jsme zabudovali do indikátoru pro TradingView (verze v5, česky i anglicky, uloženo v repozitáři): kreslí VWAP a pásmo, značí vstupy (BUY/SELL šipky) a výstupy (křížek, diamant), barví SL stranu pásma červeně a směr obchodu zeleně, ukazuje historii obchodů, a hlavně — každé ráno vyhodnotí obě brány. Zakázaný den označí červeným nápisem </w:t>
      </w:r>
      <w:r>
        <w:rPr>
          <w:b/>
          <w:bCs/>
        </w:rPr>
        <w:t xml:space="preserve">NO TRADE DAY</w:t>
      </w:r>
      <w:r>
        <w:t xml:space="preserve"> (s důvodem gap/trend) a zpětně štítkem u svíčky 9:30. Obsahuje alerty na vstup, výstup i zákaz obchodování. Prahy bran se počítají klouzavě bez nakukování do budoucnosti, aktivují se po 60 dnech historie grafu.</w:t>
      </w:r>
    </w:p>
    <w:p>
      <w:pPr>
        <w:pStyle w:val="Heading1"/>
        <w:spacing w:after="160" w:before="400"/>
      </w:pPr>
      <w:r>
        <w:t xml:space="preserve">20. Problém OOS — proč finální číslo nemůžeme „dokázat“</w:t>
      </w:r>
    </w:p>
    <w:p>
      <w:pPr>
        <w:spacing w:after="140"/>
        <w:jc w:val="both"/>
      </w:pPr>
      <w:r>
        <w:t xml:space="preserve">Tady musí dokument přiznat svou největší slabinu. Skutečně čistá OOS data (schovaná, nikdy neviděná) jsme </w:t>
      </w:r>
      <w:r>
        <w:rPr>
          <w:b/>
          <w:bCs/>
        </w:rPr>
        <w:t xml:space="preserve">spotřebovali</w:t>
      </w:r>
      <w:r>
        <w:t xml:space="preserve"> už v kroku R3 a v testu robustnosti — a jednou použitá data už nikdy nejsou čistá, protože naše další rozhodnutí je „viděla“. Brány z fází A–E vznikly výhradně na IS datech, ale definitivní důkaz může přinést jen budoucnost. Možnosti: (1) </w:t>
      </w:r>
      <w:r>
        <w:rPr>
          <w:b/>
          <w:bCs/>
        </w:rPr>
        <w:t xml:space="preserve">paper trading</w:t>
      </w:r>
      <w:r>
        <w:t xml:space="preserve"> — obchodovat naostro „na papíře“ podle indikátoru; každý nový den je z definice čistý test; (2) nová data, která platforma nemá (poslední ~3 měsíce), otestovat lokálním skriptem; (3) počkat, až času přibude. Rozhodli jsme se pro cestu 1 + trpělivost — a vylepšovací kapitolu jsme formálně uzavřeli, aby nás svědění rukou nedovedlo k přeučení.</w:t>
      </w:r>
    </w:p>
    <w:p>
      <w:pPr>
        <w:pStyle w:val="Heading1"/>
        <w:spacing w:after="160" w:before="400"/>
      </w:pPr>
      <w:r>
        <w:t xml:space="preserve">21. Lekce celé cesty (shrnutí pro budoucí já)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Náklady rozhodují.</w:t>
      </w:r>
      <w:r>
        <w:t xml:space="preserve"> Strategie se 40% CAGR v článku je po reálných nákladech na jiném trhu −35 %. Vždy testuj s konzervativními náklady.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 rate klame.</w:t>
      </w:r>
      <w:r>
        <w:t xml:space="preserve"> 80% úspěšnost prodělávala, 37% vydělávala. Rozhoduje součin četnosti a velikosti výher/ztrát.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Nech vítěze běžet.</w:t>
      </w:r>
      <w:r>
        <w:t xml:space="preserve"> Dva nezávislé testy (TP-grid, TP varianta) potvrdily: useknutí velkých výher zabíjí trend-following.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Plošina &gt; vrchol.</w:t>
      </w:r>
      <w:r>
        <w:t xml:space="preserve"> Věř parametrům, jejichž sousedé fungují taky. Nasazuj střed plošiny, ne peak — peak je částečně náhoda.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Silný signál ≠ dobré pravidlo.</w:t>
      </w:r>
      <w:r>
        <w:t xml:space="preserve"> Nejsilnější statistický signál (fhr) jako filtr selhal; nenápadný gap vyhrál. Testuj vše.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Krátké OOS nic nedokazuje.</w:t>
      </w:r>
      <w:r>
        <w:t xml:space="preserve"> Bootstrap ukázal, že půlroční okno je mincovní hod. Nedělej z něj silné závěry ani na jednu stranu.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Předregistruj kritéria.</w:t>
      </w:r>
      <w:r>
        <w:t xml:space="preserve"> Sepsat „co budeme považovat za úspěch“ PŘED testem je jediná ochrana před sebeklamem.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Ukončuj kapitoly.</w:t>
      </w:r>
      <w:r>
        <w:t xml:space="preserve"> Každý další test na stejných datech zvyšuje riziko přeučení. V jednu chvíli je třeba říct dost a nechat rozhodnout realitu.</w:t>
      </w:r>
    </w:p>
    <w:p>
      <w:pPr>
        <w:pStyle w:val="Heading1"/>
        <w:spacing w:after="160" w:before="400"/>
      </w:pPr>
      <w:r>
        <w:t xml:space="preserve">Příloha: přehled běhů na QuantConnect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projekt</w:t>
            </w:r>
          </w:p>
        </w:tc>
        <w:tc>
          <w:tcPr>
            <w:tcW w:type="dxa" w:w="468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účel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 (34170904)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R1 replikace, R2 překlad, TP-grid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vwap_trend_1td (34240773)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varianta 1 obchod/den + TP srovnání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vwap_trend_robust (34242424)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robustnost: fan, mrak, roční heatmapa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vwap_trend_grid2d (34243168)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2D mapa pásmo × TP (96 kombinací)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vwap_trend_improve (34266528)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Fáze A: mřížka 12 variant + podmínky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vwap_trend_improveB (34266984)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Fáze B: brány fhr/gap/pt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vwap_trend_improveC (34267097)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Fáze C: sweep prahu gap gate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vwap_trend_improveD (34267284)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Fáze D: nezávislost na vstupu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vwap_trend_improveE (34267822)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Fáze E: uzavírací běh, finální konfigurace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Všechny kódy, playbooky (podrobné technické zápisy), obrázky a tento dokument jsou uloženy v git repozitáři Strong-Chicken-Journal. Výzkumná kapitola VWAP Trend je uzavřena; pokračuje paper trading.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40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9c85850e029df2ca6d2b033dcc7c2f5032aa6c9.png"/><Relationship Id="rId8" Type="http://schemas.openxmlformats.org/officeDocument/2006/relationships/image" Target="media/f42a2e4bebe695510cca0fd79be841fd65938502.png"/><Relationship Id="rId9" Type="http://schemas.openxmlformats.org/officeDocument/2006/relationships/image" Target="media/b8e9ebfb6a6bd9c8e4a76434eddbffb1143afa11.png"/><Relationship Id="rId10" Type="http://schemas.openxmlformats.org/officeDocument/2006/relationships/image" Target="media/21484eba37a3c05f8772f83ac8fa965cef139eb2.png"/><Relationship Id="rId11" Type="http://schemas.openxmlformats.org/officeDocument/2006/relationships/image" Target="media/c423afb7b92281069f776e7fe7a6fcf17617d42b.png"/><Relationship Id="rId12" Type="http://schemas.openxmlformats.org/officeDocument/2006/relationships/image" Target="media/30e6d9ac01db8b8a1f523a83110caf6ec99c47a7.png"/><Relationship Id="rId13" Type="http://schemas.openxmlformats.org/officeDocument/2006/relationships/image" Target="media/1cbd461f49cdb1f4509d0ef64762e893fa54494a.png"/><Relationship Id="rId14" Type="http://schemas.openxmlformats.org/officeDocument/2006/relationships/image" Target="media/9cd9ee589273e6d5e4409804268f059a2dc9299f.png"/><Relationship Id="rId15" Type="http://schemas.openxmlformats.org/officeDocument/2006/relationships/image" Target="media/c297d0d5cdd0666401bf2ba5906b4851e8bf0e9c.png"/><Relationship Id="rId16" Type="http://schemas.openxmlformats.org/officeDocument/2006/relationships/image" Target="media/e45d3992ebd2d5ff28364517270ebb05370c0e7a.png"/><Relationship Id="rId17" Type="http://schemas.openxmlformats.org/officeDocument/2006/relationships/image" Target="media/029ca48acc251738f2a7403942a849f3a368d022.png"/><Relationship Id="rId18" Type="http://schemas.openxmlformats.org/officeDocument/2006/relationships/image" Target="media/097c304f1b17d3aa7145e8a4931675c684325e07.png"/><Relationship Id="rId19" Type="http://schemas.openxmlformats.org/officeDocument/2006/relationships/image" Target="media/68debd8a3effef81b5a6e82d9275890966bae7c6.png"/><Relationship Id="rId20" Type="http://schemas.openxmlformats.org/officeDocument/2006/relationships/image" Target="media/b7d7c9cd9593a3dcedec54af11c2e6c792b59bec.png"/><Relationship Id="rId21" Type="http://schemas.openxmlformats.org/officeDocument/2006/relationships/image" Target="media/b3ae213dc59c7cc689ad6495d9768f42037a8a7b.png"/><Relationship Id="rId22" Type="http://schemas.openxmlformats.org/officeDocument/2006/relationships/image" Target="media/de65363a54be3a76c2fd9c15769615bdc1046596.png"/><Relationship Id="rId23" Type="http://schemas.openxmlformats.org/officeDocument/2006/relationships/image" Target="media/9df357f940f1ac3d68146aeb0547ee9c7a310bd3.png"/><Relationship Id="rId24" Type="http://schemas.openxmlformats.org/officeDocument/2006/relationships/image" Target="media/51830b50d2dc38f87cce4177269f735dfdd2b071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2026-07-18T19:27:29.027Z</dcterms:created>
  <dcterms:modified xsi:type="dcterms:W3CDTF">2026-07-18T19:27:29.029Z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