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56"/>
          <w:szCs w:val="56"/>
        </w:rPr>
        <w:t xml:space="preserve">The Journey to the VWAP Trend Strategy</w:t>
      </w:r>
    </w:p>
    <w:p>
      <w:pPr>
        <w:spacing w:after="200"/>
        <w:jc w:val="center"/>
      </w:pPr>
      <w:r>
        <w:rPr>
          <w:color w:val="555555"/>
          <w:sz w:val="28"/>
          <w:szCs w:val="28"/>
        </w:rPr>
        <w:t xml:space="preserve">The complete story of one research project — from an academic paper to a final trading strategy</w:t>
      </w:r>
    </w:p>
    <w:p>
      <w:pPr>
        <w:spacing w:after="200"/>
        <w:jc w:val="center"/>
      </w:pPr>
      <w:r>
        <w:rPr>
          <w:color w:val="555555"/>
          <w:sz w:val="28"/>
          <w:szCs w:val="28"/>
        </w:rPr>
        <w:t xml:space="preserve">Strong Chicken Journal project • NQ futures • 2018–2026</w:t>
      </w:r>
    </w:p>
    <w:p>
      <w:pPr>
        <w:spacing w:after="200"/>
        <w:jc w:val="center"/>
      </w:pPr>
      <w:r>
        <w:rPr>
          <w:color w:val="555555"/>
          <w:sz w:val="28"/>
          <w:szCs w:val="28"/>
        </w:rPr>
        <w:t xml:space="preserve">Written for complete beginners — every term is explained</w:t>
      </w:r>
    </w:p>
    <w:p>
      <w:r>
        <w:br w:type="page"/>
      </w:r>
    </w:p>
    <w:p>
      <w:pPr>
        <w:pStyle w:val="Heading1"/>
        <w:spacing w:after="160" w:before="400"/>
      </w:pPr>
      <w:r>
        <w:t xml:space="preserve">1. Introduction — what this document is</w:t>
      </w:r>
    </w:p>
    <w:p>
      <w:pPr>
        <w:spacing w:after="140"/>
        <w:jc w:val="both"/>
      </w:pPr>
      <w:r>
        <w:t xml:space="preserve">This document tells the </w:t>
      </w:r>
      <w:r>
        <w:rPr>
          <w:b/>
          <w:bCs/>
        </w:rPr>
        <w:t xml:space="preserve">entire journey</w:t>
      </w:r>
      <w:r>
        <w:t xml:space="preserve"> of one quantitative research project: how we took an idea from an academic paper, verified it, broke it, repaired it, stress-tested it from every angle, ran into several walls — and finally distilled it into a trading strategy that was profitable in </w:t>
      </w:r>
      <w:r>
        <w:rPr>
          <w:b/>
          <w:bCs/>
        </w:rPr>
        <w:t xml:space="preserve">every single one of eight years</w:t>
      </w:r>
      <w:r>
        <w:t xml:space="preserve"> of historical data, with a worst drawdown of only −6.4%.</w:t>
      </w:r>
    </w:p>
    <w:p>
      <w:pPr>
        <w:spacing w:after="140"/>
        <w:jc w:val="both"/>
      </w:pPr>
      <w:r>
        <w:t xml:space="preserve">It is written so that a </w:t>
      </w:r>
      <w:r>
        <w:rPr>
          <w:b/>
          <w:bCs/>
        </w:rPr>
        <w:t xml:space="preserve">complete beginner</w:t>
      </w:r>
      <w:r>
        <w:t xml:space="preserve"> can follow it. Every technical term is explained the first time it appears, and chapter 2 is a glossary of all the important words. Nothing is hidden — we describe </w:t>
      </w:r>
      <w:r>
        <w:rPr>
          <w:b/>
          <w:bCs/>
        </w:rPr>
        <w:t xml:space="preserve">every dead end</w:t>
      </w:r>
      <w:r>
        <w:t xml:space="preserve">, every test that failed, and every place where we could have fooled ourselves (and chose not to). That is what separates honest research from marketing: marketing shows you only the winner; research also shows you the graveyard of ideas the winner is standing on.</w:t>
      </w:r>
    </w:p>
    <w:p>
      <w:pPr>
        <w:spacing w:after="140"/>
        <w:jc w:val="both"/>
      </w:pPr>
      <w:r>
        <w:t xml:space="preserve">How the research was actually done: we programmed the strategies in Python on </w:t>
      </w:r>
      <w:r>
        <w:rPr>
          <w:b/>
          <w:bCs/>
        </w:rPr>
        <w:t xml:space="preserve">QuantConnect</w:t>
      </w:r>
      <w:r>
        <w:t xml:space="preserve"> (an online platform with minute-by-minute historical market data and a simulation engine), computed the statistics with our own scripts, and built the live-monitoring tools in </w:t>
      </w:r>
      <w:r>
        <w:rPr>
          <w:b/>
          <w:bCs/>
        </w:rPr>
        <w:t xml:space="preserve">TradingView</w:t>
      </w:r>
      <w:r>
        <w:t xml:space="preserve"> (a popular web charting app). Everything is version-controlled in a git repository; every test has a traceable record.</w:t>
      </w:r>
    </w:p>
    <w:p>
      <w:pPr>
        <w:pStyle w:val="Heading1"/>
        <w:spacing w:after="160" w:before="400"/>
      </w:pPr>
      <w:r>
        <w:t xml:space="preserve">2. Glossary for complete beginners</w:t>
      </w:r>
    </w:p>
    <w:p>
      <w:pPr>
        <w:spacing w:after="140"/>
        <w:jc w:val="both"/>
      </w:pPr>
      <w:r>
        <w:t xml:space="preserve">Before we start, the basic vocabulary. Feel free to come back here anytime.</w:t>
      </w:r>
    </w:p>
    <w:p>
      <w:pPr>
        <w:pStyle w:val="ListParagraph"/>
        <w:numPr>
          <w:ilvl w:val="0"/>
          <w:numId w:val="2"/>
        </w:numPr>
        <w:spacing w:after="80"/>
      </w:pPr>
      <w:r>
        <w:rPr>
          <w:b/>
          <w:bCs/>
        </w:rPr>
        <w:t xml:space="preserve">Futures (futures contract)</w:t>
      </w:r>
      <w:r>
        <w:t xml:space="preserve"> — an exchange-traded contract that lets you bet on the future price of something (an index, a commodity). We trade </w:t>
      </w:r>
      <w:r>
        <w:rPr>
          <w:b/>
          <w:bCs/>
        </w:rPr>
        <w:t xml:space="preserve">NQ</w:t>
      </w:r>
      <w:r>
        <w:t xml:space="preserve"> = futures on the Nasdaq-100 index (the 100 largest US technology companies). NQ moves in points; one point = $20 of profit/loss per contract.</w:t>
      </w:r>
    </w:p>
    <w:p>
      <w:pPr>
        <w:pStyle w:val="ListParagraph"/>
        <w:numPr>
          <w:ilvl w:val="0"/>
          <w:numId w:val="2"/>
        </w:numPr>
        <w:spacing w:after="80"/>
      </w:pPr>
      <w:r>
        <w:rPr>
          <w:b/>
          <w:bCs/>
        </w:rPr>
        <w:t xml:space="preserve">Long / Short</w:t>
      </w:r>
      <w:r>
        <w:t xml:space="preserve"> — long = betting on a rise (buy first, sell higher later). Short = betting on a fall (sell borrowed first, buy back cheaper later). Futures make both equally easy.</w:t>
      </w:r>
    </w:p>
    <w:p>
      <w:pPr>
        <w:pStyle w:val="ListParagraph"/>
        <w:numPr>
          <w:ilvl w:val="0"/>
          <w:numId w:val="2"/>
        </w:numPr>
        <w:spacing w:after="80"/>
      </w:pPr>
      <w:r>
        <w:rPr>
          <w:b/>
          <w:bCs/>
        </w:rPr>
        <w:t xml:space="preserve">RTH (Regular Trading Hours)</w:t>
      </w:r>
      <w:r>
        <w:t xml:space="preserve"> — the main US session: 9:30–16:00 New York time. The market also trades outside these hours (overnight), but with less activity.</w:t>
      </w:r>
    </w:p>
    <w:p>
      <w:pPr>
        <w:pStyle w:val="ListParagraph"/>
        <w:numPr>
          <w:ilvl w:val="0"/>
          <w:numId w:val="2"/>
        </w:numPr>
        <w:spacing w:after="80"/>
      </w:pPr>
      <w:r>
        <w:rPr>
          <w:b/>
          <w:bCs/>
        </w:rPr>
        <w:t xml:space="preserve">VWAP (Volume-Weighted Average Price)</w:t>
      </w:r>
      <w:r>
        <w:t xml:space="preserve"> — the day's average price weighted by traded volume. In plain words: "the average price everyone actually paid today." It is the most watched intraday "fair price" — large players measure their own executions against it.</w:t>
      </w:r>
    </w:p>
    <w:p>
      <w:pPr>
        <w:pStyle w:val="ListParagraph"/>
        <w:numPr>
          <w:ilvl w:val="0"/>
          <w:numId w:val="2"/>
        </w:numPr>
        <w:spacing w:after="80"/>
      </w:pPr>
      <w:r>
        <w:rPr>
          <w:b/>
          <w:bCs/>
        </w:rPr>
        <w:t xml:space="preserve">Bps (basis point)</w:t>
      </w:r>
      <w:r>
        <w:t xml:space="preserve"> — one hundredth of a percent. 20 bps = 0.20%. We use it because intraday moves are small.</w:t>
      </w:r>
    </w:p>
    <w:p>
      <w:pPr>
        <w:pStyle w:val="ListParagraph"/>
        <w:numPr>
          <w:ilvl w:val="0"/>
          <w:numId w:val="2"/>
        </w:numPr>
        <w:spacing w:after="80"/>
      </w:pPr>
      <w:r>
        <w:rPr>
          <w:b/>
          <w:bCs/>
        </w:rPr>
        <w:t xml:space="preserve">Backtest</w:t>
      </w:r>
      <w:r>
        <w:t xml:space="preserve"> — a simulation of a strategy on historical data: "if I had traded like this for the last 8 years, how would I have done?" A backtest never proves the future; it only describes the past.</w:t>
      </w:r>
    </w:p>
    <w:p>
      <w:pPr>
        <w:pStyle w:val="ListParagraph"/>
        <w:numPr>
          <w:ilvl w:val="0"/>
          <w:numId w:val="2"/>
        </w:numPr>
        <w:spacing w:after="80"/>
      </w:pPr>
      <w:r>
        <w:rPr>
          <w:b/>
          <w:bCs/>
        </w:rPr>
        <w:t xml:space="preserve">In-sample (IS) / Out-of-sample (OOS)</w:t>
      </w:r>
      <w:r>
        <w:t xml:space="preserve"> — the key distinction of this whole document. IS = the data you develop and tune the strategy on. OOS = data you locked away and NEVER looked at during development. Only an OOS result is a real test — on IS data you are always, to some degree, "taking an exam with the answer sheet in your pocket."</w:t>
      </w:r>
    </w:p>
    <w:p>
      <w:pPr>
        <w:pStyle w:val="ListParagraph"/>
        <w:numPr>
          <w:ilvl w:val="0"/>
          <w:numId w:val="2"/>
        </w:numPr>
        <w:spacing w:after="80"/>
      </w:pPr>
      <w:r>
        <w:rPr>
          <w:b/>
          <w:bCs/>
        </w:rPr>
        <w:t xml:space="preserve">Overfitting</w:t>
      </w:r>
      <w:r>
        <w:t xml:space="preserve"> — the most dangerous trap in quantitative research. If you try enough variants, one of them will look great on past data by pure chance — you have tuned your strategy to the noise of history, not to a real phenomenon. The telltale sign: only one exact parameter value works (an isolated "spike") while its neighbors fail.</w:t>
      </w:r>
    </w:p>
    <w:p>
      <w:pPr>
        <w:pStyle w:val="ListParagraph"/>
        <w:numPr>
          <w:ilvl w:val="0"/>
          <w:numId w:val="2"/>
        </w:numPr>
        <w:spacing w:after="80"/>
      </w:pPr>
      <w:r>
        <w:rPr>
          <w:b/>
          <w:bCs/>
        </w:rPr>
        <w:t xml:space="preserve">Equity curve</w:t>
      </w:r>
      <w:r>
        <w:t xml:space="preserve"> — a chart of the account value over time. You want it to rise as smoothly as possible.</w:t>
      </w:r>
    </w:p>
    <w:p>
      <w:pPr>
        <w:pStyle w:val="ListParagraph"/>
        <w:numPr>
          <w:ilvl w:val="0"/>
          <w:numId w:val="2"/>
        </w:numPr>
        <w:spacing w:after="80"/>
      </w:pPr>
      <w:r>
        <w:rPr>
          <w:b/>
          <w:bCs/>
        </w:rPr>
        <w:t xml:space="preserve">CAGR</w:t>
      </w:r>
      <w:r>
        <w:t xml:space="preserve"> — compound annual growth rate. "CAGR 10%" = the account grows 10% per year on average.</w:t>
      </w:r>
    </w:p>
    <w:p>
      <w:pPr>
        <w:pStyle w:val="ListParagraph"/>
        <w:numPr>
          <w:ilvl w:val="0"/>
          <w:numId w:val="2"/>
        </w:numPr>
        <w:spacing w:after="80"/>
      </w:pPr>
      <w:r>
        <w:rPr>
          <w:b/>
          <w:bCs/>
        </w:rPr>
        <w:t xml:space="preserve">Max drawdown (MDD)</w:t>
      </w:r>
      <w:r>
        <w:t xml:space="preserve"> — the largest peak-to-trough drop of the account, in percent. It measures pain: MDD −20% means at your worst moment you were 20% below your high-water mark. For prop-firm traders it is THE number — a big drawdown gets you fired.</w:t>
      </w:r>
    </w:p>
    <w:p>
      <w:pPr>
        <w:pStyle w:val="ListParagraph"/>
        <w:numPr>
          <w:ilvl w:val="0"/>
          <w:numId w:val="2"/>
        </w:numPr>
        <w:spacing w:after="80"/>
      </w:pPr>
      <w:r>
        <w:rPr>
          <w:b/>
          <w:bCs/>
        </w:rPr>
        <w:t xml:space="preserve">Sharpe ratio</w:t>
      </w:r>
      <w:r>
        <w:t xml:space="preserve"> — return divided by volatility. It measures "how much return per unit of bumpiness." 1.0 is decent, 1.4 is very good, 2+ is suspiciously great.</w:t>
      </w:r>
    </w:p>
    <w:p>
      <w:pPr>
        <w:pStyle w:val="ListParagraph"/>
        <w:numPr>
          <w:ilvl w:val="0"/>
          <w:numId w:val="2"/>
        </w:numPr>
        <w:spacing w:after="80"/>
      </w:pPr>
      <w:r>
        <w:rPr>
          <w:b/>
          <w:bCs/>
        </w:rPr>
        <w:t xml:space="preserve">Win rate</w:t>
      </w:r>
      <w:r>
        <w:t xml:space="preserve"> — the percentage of profitable trades. Careful: </w:t>
      </w:r>
      <w:r>
        <w:rPr>
          <w:b/>
          <w:bCs/>
        </w:rPr>
        <w:t xml:space="preserve">a high win rate does not mean a profitable strategy</w:t>
      </w:r>
      <w:r>
        <w:t xml:space="preserve"> — you will see this lesson twice in this document.</w:t>
      </w:r>
    </w:p>
    <w:p>
      <w:pPr>
        <w:pStyle w:val="ListParagraph"/>
        <w:numPr>
          <w:ilvl w:val="0"/>
          <w:numId w:val="2"/>
        </w:numPr>
        <w:spacing w:after="80"/>
      </w:pPr>
      <w:r>
        <w:rPr>
          <w:b/>
          <w:bCs/>
        </w:rPr>
        <w:t xml:space="preserve">Stop-loss (SL) / Take-profit (TP)</w:t>
      </w:r>
      <w:r>
        <w:t xml:space="preserve"> — SL = a predefined level where you close a losing trade. TP = a level where you take your profit.</w:t>
      </w:r>
    </w:p>
    <w:p>
      <w:pPr>
        <w:pStyle w:val="ListParagraph"/>
        <w:numPr>
          <w:ilvl w:val="0"/>
          <w:numId w:val="2"/>
        </w:numPr>
        <w:spacing w:after="80"/>
      </w:pPr>
      <w:r>
        <w:rPr>
          <w:b/>
          <w:bCs/>
        </w:rPr>
        <w:t xml:space="preserve">Overnight gap</w:t>
      </w:r>
      <w:r>
        <w:t xml:space="preserve"> — the difference between today's opening price (9:30) and yesterday's close (16:00). The market moves overnight (Asia, Europe, news) — so mornings "jump."</w:t>
      </w:r>
    </w:p>
    <w:p>
      <w:pPr>
        <w:pStyle w:val="ListParagraph"/>
        <w:numPr>
          <w:ilvl w:val="0"/>
          <w:numId w:val="2"/>
        </w:numPr>
        <w:spacing w:after="80"/>
      </w:pPr>
      <w:r>
        <w:rPr>
          <w:b/>
          <w:bCs/>
        </w:rPr>
        <w:t xml:space="preserve">Monte Carlo / bootstrap</w:t>
      </w:r>
      <w:r>
        <w:t xml:space="preserve"> — a statistical method: you randomly resample historical daily returns (with replacement) to generate thousands of alternative "how it could have gone" scenarios. It shows the spread of possible futures instead of one single curve.</w:t>
      </w:r>
    </w:p>
    <w:p>
      <w:pPr>
        <w:pStyle w:val="ListParagraph"/>
        <w:numPr>
          <w:ilvl w:val="0"/>
          <w:numId w:val="2"/>
        </w:numPr>
        <w:spacing w:after="80"/>
      </w:pPr>
      <w:r>
        <w:rPr>
          <w:b/>
          <w:bCs/>
        </w:rPr>
        <w:t xml:space="preserve">Percentile</w:t>
      </w:r>
      <w:r>
        <w:t xml:space="preserve"> — a position within a distribution. "30th percentile" = 30% of scenarios did worse, 70% did better.</w:t>
      </w:r>
    </w:p>
    <w:p>
      <w:pPr>
        <w:pStyle w:val="ListParagraph"/>
        <w:numPr>
          <w:ilvl w:val="0"/>
          <w:numId w:val="2"/>
        </w:numPr>
        <w:spacing w:after="80"/>
      </w:pPr>
      <w:r>
        <w:rPr>
          <w:b/>
          <w:bCs/>
        </w:rPr>
        <w:t xml:space="preserve">Prop firm</w:t>
      </w:r>
      <w:r>
        <w:t xml:space="preserve"> — a company that gives a trader its own capital for a profit share, with a strict drawdown limit.</w:t>
      </w:r>
    </w:p>
    <w:p>
      <w:r>
        <w:br w:type="page"/>
      </w:r>
    </w:p>
    <w:p>
      <w:pPr>
        <w:pStyle w:val="Heading1"/>
        <w:spacing w:after="160" w:before="400"/>
      </w:pPr>
      <w:r>
        <w:t xml:space="preserve">3. The starting point: the academic paper</w:t>
      </w:r>
    </w:p>
    <w:p>
      <w:pPr>
        <w:spacing w:after="140"/>
        <w:jc w:val="both"/>
      </w:pPr>
      <w:r>
        <w:t xml:space="preserve">Everything began with </w:t>
      </w:r>
      <w:r>
        <w:rPr>
          <w:b/>
          <w:bCs/>
        </w:rPr>
        <w:t xml:space="preserve">Zarattini &amp; Aziz: "VWAP: The Holy Grail for Day Trading Systems"</w:t>
      </w:r>
      <w:r>
        <w:t xml:space="preserve"> (SSRN 4631351). The authors claim that a simple intraday trend-following strategy around VWAP achieved exceptional results on the QQQ ETF (a fund tracking the Nasdaq-100): over 40% per year with a Sharpe around 2.</w:t>
      </w:r>
    </w:p>
    <w:p>
      <w:pPr>
        <w:spacing w:after="140"/>
        <w:jc w:val="both"/>
      </w:pPr>
      <w:r>
        <w:t xml:space="preserve">The paper's rules in a nutshell: every minute, check whether price is above or below VWAP. When a candle </w:t>
      </w:r>
      <w:r>
        <w:rPr>
          <w:b/>
          <w:bCs/>
        </w:rPr>
        <w:t xml:space="preserve">closes above</w:t>
      </w:r>
      <w:r>
        <w:t xml:space="preserve"> VWAP, be long; when it </w:t>
      </w:r>
      <w:r>
        <w:rPr>
          <w:b/>
          <w:bCs/>
        </w:rPr>
        <w:t xml:space="preserve">closes below</w:t>
      </w:r>
      <w:r>
        <w:t xml:space="preserve">, be short (an immediate position flip — "stop-and-reverse"). Close everything at the end of the day (nothing held overnight). This is </w:t>
      </w:r>
      <w:r>
        <w:rPr>
          <w:b/>
          <w:bCs/>
        </w:rPr>
        <w:t xml:space="preserve">trend-following</w:t>
      </w:r>
      <w:r>
        <w:t xml:space="preserve">: you don't try to guess the turn, you just ride the current.</w:t>
      </w:r>
    </w:p>
    <w:p>
      <w:pPr>
        <w:spacing w:after="140"/>
        <w:jc w:val="both"/>
      </w:pPr>
      <w:r>
        <w:t xml:space="preserve">The "Holy Grail" title is marketing, of course. Our question was: </w:t>
      </w:r>
      <w:r>
        <w:rPr>
          <w:b/>
          <w:bCs/>
        </w:rPr>
        <w:t xml:space="preserve">is there anything real in it, and does it survive contact with reality</w:t>
      </w:r>
      <w:r>
        <w:t xml:space="preserve"> (fees, slippage, other markets)? That is exactly what replication is for.</w:t>
      </w:r>
    </w:p>
    <w:p>
      <w:pPr>
        <w:pStyle w:val="Heading1"/>
        <w:spacing w:after="160" w:before="400"/>
      </w:pPr>
      <w:r>
        <w:t xml:space="preserve">4. Step R1: Replication — checking the paper isn't lying</w:t>
      </w:r>
    </w:p>
    <w:p>
      <w:pPr>
        <w:spacing w:after="140"/>
        <w:jc w:val="both"/>
      </w:pPr>
      <w:r>
        <w:rPr>
          <w:b/>
          <w:bCs/>
        </w:rPr>
        <w:t xml:space="preserve">Replication</w:t>
      </w:r>
      <w:r>
        <w:t xml:space="preserve"> means programming the paper's rules exactly as written and verifying we get the same numbers. Without this there is no point continuing — half of the internet's "miracle" strategies die right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4" w:val="clear"/>
            <w:tcMar>
              <w:top w:type="dxa" w:w="60"/>
              <w:left w:type="dxa" w:w="100"/>
              <w:bottom w:type="dxa" w:w="60"/>
              <w:right w:type="dxa" w:w="100"/>
            </w:tcMar>
          </w:tcPr>
          <w:p>
            <w:r>
              <w:rPr>
                <w:b/>
                <w:bCs/>
                <w:sz w:val="19"/>
                <w:szCs w:val="19"/>
              </w:rPr>
              <w:t xml:space="preserve">metric</w:t>
            </w:r>
          </w:p>
        </w:tc>
        <w:tc>
          <w:tcPr>
            <w:tcW w:type="dxa" w:w="3120"/>
            <w:shd w:fill="E8EEF4" w:val="clear"/>
            <w:tcMar>
              <w:top w:type="dxa" w:w="60"/>
              <w:left w:type="dxa" w:w="100"/>
              <w:bottom w:type="dxa" w:w="60"/>
              <w:right w:type="dxa" w:w="100"/>
            </w:tcMar>
          </w:tcPr>
          <w:p>
            <w:r>
              <w:rPr>
                <w:b/>
                <w:bCs/>
                <w:sz w:val="19"/>
                <w:szCs w:val="19"/>
              </w:rPr>
              <w:t xml:space="preserve">QQQ our test</w:t>
            </w:r>
          </w:p>
        </w:tc>
        <w:tc>
          <w:tcPr>
            <w:tcW w:type="dxa" w:w="3120"/>
            <w:shd w:fill="E8EEF4" w:val="clear"/>
            <w:tcMar>
              <w:top w:type="dxa" w:w="60"/>
              <w:left w:type="dxa" w:w="100"/>
              <w:bottom w:type="dxa" w:w="60"/>
              <w:right w:type="dxa" w:w="100"/>
            </w:tcMar>
          </w:tcPr>
          <w:p>
            <w:r>
              <w:rPr>
                <w:b/>
                <w:bCs/>
                <w:sz w:val="19"/>
                <w:szCs w:val="19"/>
              </w:rPr>
              <w:t xml:space="preserve">QQQ paper</w:t>
            </w:r>
          </w:p>
        </w:tc>
      </w:tr>
      <w:tr>
        <w:tc>
          <w:tcPr>
            <w:tcW w:type="dxa" w:w="3120"/>
            <w:tcMar>
              <w:top w:type="dxa" w:w="60"/>
              <w:left w:type="dxa" w:w="100"/>
              <w:bottom w:type="dxa" w:w="60"/>
              <w:right w:type="dxa" w:w="100"/>
            </w:tcMar>
          </w:tcPr>
          <w:p>
            <w:r>
              <w:rPr>
                <w:b w:val="false"/>
                <w:bCs w:val="false"/>
                <w:sz w:val="19"/>
                <w:szCs w:val="19"/>
              </w:rPr>
              <w:t xml:space="preserve">total return</w:t>
            </w:r>
          </w:p>
        </w:tc>
        <w:tc>
          <w:tcPr>
            <w:tcW w:type="dxa" w:w="3120"/>
            <w:tcMar>
              <w:top w:type="dxa" w:w="60"/>
              <w:left w:type="dxa" w:w="100"/>
              <w:bottom w:type="dxa" w:w="60"/>
              <w:right w:type="dxa" w:w="100"/>
            </w:tcMar>
          </w:tcPr>
          <w:p>
            <w:r>
              <w:rPr>
                <w:b w:val="false"/>
                <w:bCs w:val="false"/>
                <w:sz w:val="19"/>
                <w:szCs w:val="19"/>
              </w:rPr>
              <w:t xml:space="preserve">611.6%</w:t>
            </w:r>
          </w:p>
        </w:tc>
        <w:tc>
          <w:tcPr>
            <w:tcW w:type="dxa" w:w="3120"/>
            <w:tcMar>
              <w:top w:type="dxa" w:w="60"/>
              <w:left w:type="dxa" w:w="100"/>
              <w:bottom w:type="dxa" w:w="60"/>
              <w:right w:type="dxa" w:w="100"/>
            </w:tcMar>
          </w:tcPr>
          <w:p>
            <w:r>
              <w:rPr>
                <w:b w:val="false"/>
                <w:bCs w:val="false"/>
                <w:sz w:val="19"/>
                <w:szCs w:val="19"/>
              </w:rPr>
              <w:t xml:space="preserve">671%</w:t>
            </w:r>
          </w:p>
        </w:tc>
      </w:tr>
      <w:tr>
        <w:tc>
          <w:tcPr>
            <w:tcW w:type="dxa" w:w="3120"/>
            <w:tcMar>
              <w:top w:type="dxa" w:w="60"/>
              <w:left w:type="dxa" w:w="100"/>
              <w:bottom w:type="dxa" w:w="60"/>
              <w:right w:type="dxa" w:w="100"/>
            </w:tcMar>
          </w:tcPr>
          <w:p>
            <w:r>
              <w:rPr>
                <w:b w:val="false"/>
                <w:bCs w:val="false"/>
                <w:sz w:val="19"/>
                <w:szCs w:val="19"/>
              </w:rPr>
              <w:t xml:space="preserve">CAGR</w:t>
            </w:r>
          </w:p>
        </w:tc>
        <w:tc>
          <w:tcPr>
            <w:tcW w:type="dxa" w:w="3120"/>
            <w:tcMar>
              <w:top w:type="dxa" w:w="60"/>
              <w:left w:type="dxa" w:w="100"/>
              <w:bottom w:type="dxa" w:w="60"/>
              <w:right w:type="dxa" w:w="100"/>
            </w:tcMar>
          </w:tcPr>
          <w:p>
            <w:r>
              <w:rPr>
                <w:b w:val="false"/>
                <w:bCs w:val="false"/>
                <w:sz w:val="19"/>
                <w:szCs w:val="19"/>
              </w:rPr>
              <w:t xml:space="preserve">40.8%</w:t>
            </w:r>
          </w:p>
        </w:tc>
        <w:tc>
          <w:tcPr>
            <w:tcW w:type="dxa" w:w="3120"/>
            <w:tcMar>
              <w:top w:type="dxa" w:w="60"/>
              <w:left w:type="dxa" w:w="100"/>
              <w:bottom w:type="dxa" w:w="60"/>
              <w:right w:type="dxa" w:w="100"/>
            </w:tcMar>
          </w:tcPr>
          <w:p>
            <w:r>
              <w:rPr>
                <w:b w:val="false"/>
                <w:bCs w:val="false"/>
                <w:sz w:val="19"/>
                <w:szCs w:val="19"/>
              </w:rPr>
              <w:t xml:space="preserve">43%</w:t>
            </w:r>
          </w:p>
        </w:tc>
      </w:tr>
      <w:tr>
        <w:tc>
          <w:tcPr>
            <w:tcW w:type="dxa" w:w="3120"/>
            <w:tcMar>
              <w:top w:type="dxa" w:w="60"/>
              <w:left w:type="dxa" w:w="100"/>
              <w:bottom w:type="dxa" w:w="60"/>
              <w:right w:type="dxa" w:w="100"/>
            </w:tcMar>
          </w:tcPr>
          <w:p>
            <w:r>
              <w:rPr>
                <w:b w:val="false"/>
                <w:bCs w:val="false"/>
                <w:sz w:val="19"/>
                <w:szCs w:val="19"/>
              </w:rPr>
              <w:t xml:space="preserve">Sharpe</w:t>
            </w:r>
          </w:p>
        </w:tc>
        <w:tc>
          <w:tcPr>
            <w:tcW w:type="dxa" w:w="3120"/>
            <w:tcMar>
              <w:top w:type="dxa" w:w="60"/>
              <w:left w:type="dxa" w:w="100"/>
              <w:bottom w:type="dxa" w:w="60"/>
              <w:right w:type="dxa" w:w="100"/>
            </w:tcMar>
          </w:tcPr>
          <w:p>
            <w:r>
              <w:rPr>
                <w:b w:val="false"/>
                <w:bCs w:val="false"/>
                <w:sz w:val="19"/>
                <w:szCs w:val="19"/>
              </w:rPr>
              <w:t xml:space="preserve">2.0</w:t>
            </w:r>
          </w:p>
        </w:tc>
        <w:tc>
          <w:tcPr>
            <w:tcW w:type="dxa" w:w="3120"/>
            <w:tcMar>
              <w:top w:type="dxa" w:w="60"/>
              <w:left w:type="dxa" w:w="100"/>
              <w:bottom w:type="dxa" w:w="60"/>
              <w:right w:type="dxa" w:w="100"/>
            </w:tcMar>
          </w:tcPr>
          <w:p>
            <w:r>
              <w:rPr>
                <w:b w:val="false"/>
                <w:bCs w:val="false"/>
                <w:sz w:val="19"/>
                <w:szCs w:val="19"/>
              </w:rPr>
              <w:t xml:space="preserve">2.1</w:t>
            </w:r>
          </w:p>
        </w:tc>
      </w:tr>
      <w:tr>
        <w:tc>
          <w:tcPr>
            <w:tcW w:type="dxa" w:w="3120"/>
            <w:tcMar>
              <w:top w:type="dxa" w:w="60"/>
              <w:left w:type="dxa" w:w="100"/>
              <w:bottom w:type="dxa" w:w="60"/>
              <w:right w:type="dxa" w:w="100"/>
            </w:tcMar>
          </w:tcPr>
          <w:p>
            <w:r>
              <w:rPr>
                <w:b w:val="false"/>
                <w:bCs w:val="false"/>
                <w:sz w:val="19"/>
                <w:szCs w:val="19"/>
              </w:rPr>
              <w:t xml:space="preserve">max drawdown</w:t>
            </w:r>
          </w:p>
        </w:tc>
        <w:tc>
          <w:tcPr>
            <w:tcW w:type="dxa" w:w="3120"/>
            <w:tcMar>
              <w:top w:type="dxa" w:w="60"/>
              <w:left w:type="dxa" w:w="100"/>
              <w:bottom w:type="dxa" w:w="60"/>
              <w:right w:type="dxa" w:w="100"/>
            </w:tcMar>
          </w:tcPr>
          <w:p>
            <w:r>
              <w:rPr>
                <w:b w:val="false"/>
                <w:bCs w:val="false"/>
                <w:sz w:val="19"/>
                <w:szCs w:val="19"/>
              </w:rPr>
              <w:t xml:space="preserve">8.8%</w:t>
            </w:r>
          </w:p>
        </w:tc>
        <w:tc>
          <w:tcPr>
            <w:tcW w:type="dxa" w:w="3120"/>
            <w:tcMar>
              <w:top w:type="dxa" w:w="60"/>
              <w:left w:type="dxa" w:w="100"/>
              <w:bottom w:type="dxa" w:w="60"/>
              <w:right w:type="dxa" w:w="100"/>
            </w:tcMar>
          </w:tcPr>
          <w:p>
            <w:r>
              <w:rPr>
                <w:b w:val="false"/>
                <w:bCs w:val="false"/>
                <w:sz w:val="19"/>
                <w:szCs w:val="19"/>
              </w:rPr>
              <w:t xml:space="preserve">9.4%</w:t>
            </w:r>
          </w:p>
        </w:tc>
      </w:tr>
      <w:tr>
        <w:tc>
          <w:tcPr>
            <w:tcW w:type="dxa" w:w="3120"/>
            <w:tcMar>
              <w:top w:type="dxa" w:w="60"/>
              <w:left w:type="dxa" w:w="100"/>
              <w:bottom w:type="dxa" w:w="60"/>
              <w:right w:type="dxa" w:w="100"/>
            </w:tcMar>
          </w:tcPr>
          <w:p>
            <w:r>
              <w:rPr>
                <w:b w:val="false"/>
                <w:bCs w:val="false"/>
                <w:sz w:val="19"/>
                <w:szCs w:val="19"/>
              </w:rPr>
              <w:t xml:space="preserve">win rate</w:t>
            </w:r>
          </w:p>
        </w:tc>
        <w:tc>
          <w:tcPr>
            <w:tcW w:type="dxa" w:w="3120"/>
            <w:tcMar>
              <w:top w:type="dxa" w:w="60"/>
              <w:left w:type="dxa" w:w="100"/>
              <w:bottom w:type="dxa" w:w="60"/>
              <w:right w:type="dxa" w:w="100"/>
            </w:tcMar>
          </w:tcPr>
          <w:p>
            <w:r>
              <w:rPr>
                <w:b w:val="false"/>
                <w:bCs w:val="false"/>
                <w:sz w:val="19"/>
                <w:szCs w:val="19"/>
              </w:rPr>
              <w:t xml:space="preserve">17.4%</w:t>
            </w:r>
          </w:p>
        </w:tc>
        <w:tc>
          <w:tcPr>
            <w:tcW w:type="dxa" w:w="3120"/>
            <w:tcMar>
              <w:top w:type="dxa" w:w="60"/>
              <w:left w:type="dxa" w:w="100"/>
              <w:bottom w:type="dxa" w:w="60"/>
              <w:right w:type="dxa" w:w="100"/>
            </w:tcMar>
          </w:tcPr>
          <w:p>
            <w:r>
              <w:rPr>
                <w:b w:val="false"/>
                <w:bCs w:val="false"/>
                <w:sz w:val="19"/>
                <w:szCs w:val="19"/>
              </w:rPr>
              <w:t xml:space="preserve">~17%</w:t>
            </w:r>
          </w:p>
        </w:tc>
      </w:tr>
      <w:tr>
        <w:tc>
          <w:tcPr>
            <w:tcW w:type="dxa" w:w="3120"/>
            <w:tcMar>
              <w:top w:type="dxa" w:w="60"/>
              <w:left w:type="dxa" w:w="100"/>
              <w:bottom w:type="dxa" w:w="60"/>
              <w:right w:type="dxa" w:w="100"/>
            </w:tcMar>
          </w:tcPr>
          <w:p>
            <w:r>
              <w:rPr>
                <w:b w:val="false"/>
                <w:bCs w:val="false"/>
                <w:sz w:val="19"/>
                <w:szCs w:val="19"/>
              </w:rPr>
              <w:t xml:space="preserve">number of trades</w:t>
            </w:r>
          </w:p>
        </w:tc>
        <w:tc>
          <w:tcPr>
            <w:tcW w:type="dxa" w:w="3120"/>
            <w:tcMar>
              <w:top w:type="dxa" w:w="60"/>
              <w:left w:type="dxa" w:w="100"/>
              <w:bottom w:type="dxa" w:w="60"/>
              <w:right w:type="dxa" w:w="100"/>
            </w:tcMar>
          </w:tcPr>
          <w:p>
            <w:r>
              <w:rPr>
                <w:b w:val="false"/>
                <w:bCs w:val="false"/>
                <w:sz w:val="19"/>
                <w:szCs w:val="19"/>
              </w:rPr>
              <w:t xml:space="preserve">23,360</w:t>
            </w:r>
          </w:p>
        </w:tc>
        <w:tc>
          <w:tcPr>
            <w:tcW w:type="dxa" w:w="3120"/>
            <w:tcMar>
              <w:top w:type="dxa" w:w="60"/>
              <w:left w:type="dxa" w:w="100"/>
              <w:bottom w:type="dxa" w:w="60"/>
              <w:right w:type="dxa" w:w="100"/>
            </w:tcMar>
          </w:tcPr>
          <w:p>
            <w:r>
              <w:rPr>
                <w:b w:val="false"/>
                <w:bCs w:val="false"/>
                <w:sz w:val="19"/>
                <w:szCs w:val="19"/>
              </w:rPr>
              <w:t xml:space="preserve">~21,967</w:t>
            </w:r>
          </w:p>
        </w:tc>
      </w:tr>
    </w:tbl>
    <w:p>
      <w:pPr>
        <w:spacing w:after="120"/>
      </w:pPr>
    </w:p>
    <w:p>
      <w:pPr>
        <w:spacing w:after="140"/>
        <w:jc w:val="both"/>
      </w:pPr>
      <w:r>
        <w:rPr>
          <w:b/>
          <w:bCs/>
        </w:rPr>
        <w:t xml:space="preserve">Verdict: the paper is not lying.</w:t>
      </w:r>
      <w:r>
        <w:t xml:space="preserve"> The numbers match almost exactly. Notice something odd: the win rate is only 17% — the strategy loses 5 trades out of 6! It still makes money, because the average win is 5.5× larger than the average loss. That is the DNA of trend-following: </w:t>
      </w:r>
      <w:r>
        <w:rPr>
          <w:b/>
          <w:bCs/>
        </w:rPr>
        <w:t xml:space="preserve">many small losses, an occasional huge win.</w:t>
      </w:r>
      <w:r>
        <w:t xml:space="preserve"> Remember this — it is the key to several later mistakes.</w:t>
      </w:r>
    </w:p>
    <w:p>
      <w:pPr>
        <w:spacing w:after="140"/>
        <w:jc w:val="both"/>
      </w:pPr>
      <w:r>
        <w:t xml:space="preserve">On the leveraged fund TQQQ we found a gap (our result lower than the paper's), but we traced the exact cause: the paper computes per-share fees on pre-split prices, which artificially shrinks the fee. A data artifact, not a rules error.</w:t>
      </w:r>
    </w:p>
    <w:p>
      <w:pPr>
        <w:pStyle w:val="Heading1"/>
        <w:spacing w:after="160" w:before="400"/>
      </w:pPr>
      <w:r>
        <w:t xml:space="preserve">5. Step R2: Translating to the S&amp;P 500 — dead end #1</w:t>
      </w:r>
    </w:p>
    <w:p>
      <w:pPr>
        <w:spacing w:after="140"/>
        <w:jc w:val="both"/>
      </w:pPr>
      <w:r>
        <w:t xml:space="preserve">But we don't want to trade the QQQ fund — we want futures (ES = S&amp;P 500, or NQ). So we moved the rules to ES and SPY and — hit our first wall.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4" w:val="clear"/>
            <w:tcMar>
              <w:top w:type="dxa" w:w="60"/>
              <w:left w:type="dxa" w:w="100"/>
              <w:bottom w:type="dxa" w:w="60"/>
              <w:right w:type="dxa" w:w="100"/>
            </w:tcMar>
          </w:tcPr>
          <w:p>
            <w:r>
              <w:rPr>
                <w:b/>
                <w:bCs/>
                <w:sz w:val="19"/>
                <w:szCs w:val="19"/>
              </w:rPr>
              <w:t xml:space="preserve">scenario</w:t>
            </w:r>
          </w:p>
        </w:tc>
        <w:tc>
          <w:tcPr>
            <w:tcW w:type="dxa" w:w="3120"/>
            <w:shd w:fill="E8EEF4" w:val="clear"/>
            <w:tcMar>
              <w:top w:type="dxa" w:w="60"/>
              <w:left w:type="dxa" w:w="100"/>
              <w:bottom w:type="dxa" w:w="60"/>
              <w:right w:type="dxa" w:w="100"/>
            </w:tcMar>
          </w:tcPr>
          <w:p>
            <w:r>
              <w:rPr>
                <w:b/>
                <w:bCs/>
                <w:sz w:val="19"/>
                <w:szCs w:val="19"/>
              </w:rPr>
              <w:t xml:space="preserve">SPY CAGR</w:t>
            </w:r>
          </w:p>
        </w:tc>
        <w:tc>
          <w:tcPr>
            <w:tcW w:type="dxa" w:w="3120"/>
            <w:shd w:fill="E8EEF4" w:val="clear"/>
            <w:tcMar>
              <w:top w:type="dxa" w:w="60"/>
              <w:left w:type="dxa" w:w="100"/>
              <w:bottom w:type="dxa" w:w="60"/>
              <w:right w:type="dxa" w:w="100"/>
            </w:tcMar>
          </w:tcPr>
          <w:p>
            <w:r>
              <w:rPr>
                <w:b/>
                <w:bCs/>
                <w:sz w:val="19"/>
                <w:szCs w:val="19"/>
              </w:rPr>
              <w:t xml:space="preserve">ES CAGR</w:t>
            </w:r>
          </w:p>
        </w:tc>
      </w:tr>
      <w:tr>
        <w:tc>
          <w:tcPr>
            <w:tcW w:type="dxa" w:w="3120"/>
            <w:tcMar>
              <w:top w:type="dxa" w:w="60"/>
              <w:left w:type="dxa" w:w="100"/>
              <w:bottom w:type="dxa" w:w="60"/>
              <w:right w:type="dxa" w:w="100"/>
            </w:tcMar>
          </w:tcPr>
          <w:p>
            <w:r>
              <w:rPr>
                <w:b w:val="false"/>
                <w:bCs w:val="false"/>
                <w:sz w:val="19"/>
                <w:szCs w:val="19"/>
              </w:rPr>
              <w:t xml:space="preserve">gross (no costs)</w:t>
            </w:r>
          </w:p>
        </w:tc>
        <w:tc>
          <w:tcPr>
            <w:tcW w:type="dxa" w:w="3120"/>
            <w:tcMar>
              <w:top w:type="dxa" w:w="60"/>
              <w:left w:type="dxa" w:w="100"/>
              <w:bottom w:type="dxa" w:w="60"/>
              <w:right w:type="dxa" w:w="100"/>
            </w:tcMar>
          </w:tcPr>
          <w:p>
            <w:r>
              <w:rPr>
                <w:b w:val="false"/>
                <w:bCs w:val="false"/>
                <w:sz w:val="19"/>
                <w:szCs w:val="19"/>
              </w:rPr>
              <w:t xml:space="preserve">+9.8%</w:t>
            </w:r>
          </w:p>
        </w:tc>
        <w:tc>
          <w:tcPr>
            <w:tcW w:type="dxa" w:w="3120"/>
            <w:tcMar>
              <w:top w:type="dxa" w:w="60"/>
              <w:left w:type="dxa" w:w="100"/>
              <w:bottom w:type="dxa" w:w="60"/>
              <w:right w:type="dxa" w:w="100"/>
            </w:tcMar>
          </w:tcPr>
          <w:p>
            <w:r>
              <w:rPr>
                <w:b w:val="false"/>
                <w:bCs w:val="false"/>
                <w:sz w:val="19"/>
                <w:szCs w:val="19"/>
              </w:rPr>
              <w:t xml:space="preserve">+12.0%</w:t>
            </w:r>
          </w:p>
        </w:tc>
      </w:tr>
      <w:tr>
        <w:tc>
          <w:tcPr>
            <w:tcW w:type="dxa" w:w="3120"/>
            <w:tcMar>
              <w:top w:type="dxa" w:w="60"/>
              <w:left w:type="dxa" w:w="100"/>
              <w:bottom w:type="dxa" w:w="60"/>
              <w:right w:type="dxa" w:w="100"/>
            </w:tcMar>
          </w:tcPr>
          <w:p>
            <w:r>
              <w:rPr>
                <w:b w:val="false"/>
                <w:bCs w:val="false"/>
                <w:sz w:val="19"/>
                <w:szCs w:val="19"/>
              </w:rPr>
              <w:t xml:space="preserve">with optimistic costs (0.4 bps/trade)</w:t>
            </w:r>
          </w:p>
        </w:tc>
        <w:tc>
          <w:tcPr>
            <w:tcW w:type="dxa" w:w="3120"/>
            <w:tcMar>
              <w:top w:type="dxa" w:w="60"/>
              <w:left w:type="dxa" w:w="100"/>
              <w:bottom w:type="dxa" w:w="60"/>
              <w:right w:type="dxa" w:w="100"/>
            </w:tcMar>
          </w:tcPr>
          <w:p>
            <w:r>
              <w:rPr>
                <w:b w:val="false"/>
                <w:bCs w:val="false"/>
                <w:sz w:val="19"/>
                <w:szCs w:val="19"/>
              </w:rPr>
              <w:t xml:space="preserve">−8.0%</w:t>
            </w:r>
          </w:p>
        </w:tc>
        <w:tc>
          <w:tcPr>
            <w:tcW w:type="dxa" w:w="3120"/>
            <w:tcMar>
              <w:top w:type="dxa" w:w="60"/>
              <w:left w:type="dxa" w:w="100"/>
              <w:bottom w:type="dxa" w:w="60"/>
              <w:right w:type="dxa" w:w="100"/>
            </w:tcMar>
          </w:tcPr>
          <w:p>
            <w:r>
              <w:rPr>
                <w:b w:val="false"/>
                <w:bCs w:val="false"/>
                <w:sz w:val="19"/>
                <w:szCs w:val="19"/>
              </w:rPr>
              <w:t xml:space="preserve">−6.1%</w:t>
            </w:r>
          </w:p>
        </w:tc>
      </w:tr>
      <w:tr>
        <w:tc>
          <w:tcPr>
            <w:tcW w:type="dxa" w:w="3120"/>
            <w:tcMar>
              <w:top w:type="dxa" w:w="60"/>
              <w:left w:type="dxa" w:w="100"/>
              <w:bottom w:type="dxa" w:w="60"/>
              <w:right w:type="dxa" w:w="100"/>
            </w:tcMar>
          </w:tcPr>
          <w:p>
            <w:r>
              <w:rPr>
                <w:b w:val="false"/>
                <w:bCs w:val="false"/>
                <w:sz w:val="19"/>
                <w:szCs w:val="19"/>
              </w:rPr>
              <w:t xml:space="preserve">with conservative costs (1.2 bps/trade)</w:t>
            </w:r>
          </w:p>
        </w:tc>
        <w:tc>
          <w:tcPr>
            <w:tcW w:type="dxa" w:w="3120"/>
            <w:tcMar>
              <w:top w:type="dxa" w:w="60"/>
              <w:left w:type="dxa" w:w="100"/>
              <w:bottom w:type="dxa" w:w="60"/>
              <w:right w:type="dxa" w:w="100"/>
            </w:tcMar>
          </w:tcPr>
          <w:p>
            <w:r>
              <w:rPr>
                <w:b w:val="false"/>
                <w:bCs w:val="false"/>
                <w:sz w:val="19"/>
                <w:szCs w:val="19"/>
              </w:rPr>
              <w:t xml:space="preserve">−35.5%</w:t>
            </w:r>
          </w:p>
        </w:tc>
        <w:tc>
          <w:tcPr>
            <w:tcW w:type="dxa" w:w="3120"/>
            <w:tcMar>
              <w:top w:type="dxa" w:w="60"/>
              <w:left w:type="dxa" w:w="100"/>
              <w:bottom w:type="dxa" w:w="60"/>
              <w:right w:type="dxa" w:w="100"/>
            </w:tcMar>
          </w:tcPr>
          <w:p>
            <w:r>
              <w:rPr>
                <w:b w:val="false"/>
                <w:bCs w:val="false"/>
                <w:sz w:val="19"/>
                <w:szCs w:val="19"/>
              </w:rPr>
              <w:t xml:space="preserve">−34.1%</w:t>
            </w:r>
          </w:p>
        </w:tc>
      </w:tr>
      <w:tr>
        <w:tc>
          <w:tcPr>
            <w:tcW w:type="dxa" w:w="3120"/>
            <w:tcMar>
              <w:top w:type="dxa" w:w="60"/>
              <w:left w:type="dxa" w:w="100"/>
              <w:bottom w:type="dxa" w:w="60"/>
              <w:right w:type="dxa" w:w="100"/>
            </w:tcMar>
          </w:tcPr>
          <w:p>
            <w:r>
              <w:rPr>
                <w:b w:val="false"/>
                <w:bCs w:val="false"/>
                <w:sz w:val="19"/>
                <w:szCs w:val="19"/>
              </w:rPr>
              <w:t xml:space="preserve">simply holding SPY (benchmark)</w:t>
            </w:r>
          </w:p>
        </w:tc>
        <w:tc>
          <w:tcPr>
            <w:tcW w:type="dxa" w:w="3120"/>
            <w:tcMar>
              <w:top w:type="dxa" w:w="60"/>
              <w:left w:type="dxa" w:w="100"/>
              <w:bottom w:type="dxa" w:w="60"/>
              <w:right w:type="dxa" w:w="100"/>
            </w:tcMar>
          </w:tcPr>
          <w:p>
            <w:r>
              <w:rPr>
                <w:b w:val="false"/>
                <w:bCs w:val="false"/>
                <w:sz w:val="19"/>
                <w:szCs w:val="19"/>
              </w:rPr>
              <w:t xml:space="preserve">+14.3%</w:t>
            </w:r>
          </w:p>
        </w:tc>
        <w:tc>
          <w:tcPr>
            <w:tcW w:type="dxa" w:w="3120"/>
            <w:tcMar>
              <w:top w:type="dxa" w:w="60"/>
              <w:left w:type="dxa" w:w="100"/>
              <w:bottom w:type="dxa" w:w="60"/>
              <w:right w:type="dxa" w:w="100"/>
            </w:tcMar>
          </w:tcPr>
          <w:p>
            <w:r>
              <w:rPr>
                <w:b w:val="false"/>
                <w:bCs w:val="false"/>
                <w:sz w:val="19"/>
                <w:szCs w:val="19"/>
              </w:rPr>
              <w:t xml:space="preserve">—</w:t>
            </w:r>
          </w:p>
        </w:tc>
      </w:tr>
    </w:tbl>
    <w:p>
      <w:pPr>
        <w:spacing w:after="120"/>
      </w:pPr>
    </w:p>
    <w:p>
      <w:pPr>
        <w:spacing w:after="140"/>
        <w:jc w:val="both"/>
      </w:pPr>
      <w:r>
        <w:t xml:space="preserve">Two crushing findings. </w:t>
      </w:r>
      <w:r>
        <w:rPr>
          <w:b/>
          <w:bCs/>
        </w:rPr>
        <w:t xml:space="preserve">First:</w:t>
      </w:r>
      <w:r>
        <w:t xml:space="preserve"> the gross edge on the S&amp;P is 4× weaker than on the Nasdaq — intraday trendiness is apparently a property of the tech index, not of markets in general. </w:t>
      </w:r>
      <w:r>
        <w:rPr>
          <w:b/>
          <w:bCs/>
        </w:rPr>
        <w:t xml:space="preserve">Second — and the bigger lesson:</w:t>
      </w:r>
      <w:r>
        <w:t xml:space="preserve"> the strategy makes ~17.5 trades per day. Even a tiny per-trade cost (fee + slippage) times 17.5 times 250 days a year = an enormous ongoing bleed. The paper effectively assumes trading for free.</w:t>
      </w:r>
    </w:p>
    <w:p>
      <w:pPr>
        <w:pBdr>
          <w:left w:val="single" w:color="888888" w:sz="18" w:space="8"/>
        </w:pBdr>
        <w:spacing w:after="160"/>
        <w:ind w:left="480"/>
      </w:pPr>
      <w:r>
        <w:rPr>
          <w:i/>
          <w:iCs/>
        </w:rPr>
        <w:t xml:space="preserve">Lesson #1: Costs are not a detail. For high-frequency strategies they decide life and death. Any backtest without realistic costs is a fairy tale.</w:t>
      </w:r>
    </w:p>
    <w:p>
      <w:pPr>
        <w:pStyle w:val="Heading1"/>
        <w:spacing w:after="160" w:before="400"/>
      </w:pPr>
      <w:r>
        <w:t xml:space="preserve">6. Step R4: The rescue on NQ — the hysteresis band</w:t>
      </w:r>
    </w:p>
    <w:p>
      <w:pPr>
        <w:spacing w:after="140"/>
        <w:jc w:val="both"/>
      </w:pPr>
      <w:r>
        <w:t xml:space="preserve">The core idea (riding the intraday trend) is alive on the Nasdaq — it is being killed by the costs of overtrading. The fix: a </w:t>
      </w:r>
      <w:r>
        <w:rPr>
          <w:b/>
          <w:bCs/>
        </w:rPr>
        <w:t xml:space="preserve">hysteresis band</w:t>
      </w:r>
      <w:r>
        <w:t xml:space="preserve">. Instead of reacting to every VWAP crossing, we draw a band of ±20 bps (0.2%) around VWAP and only act when price closes </w:t>
      </w:r>
      <w:r>
        <w:rPr>
          <w:b/>
          <w:bCs/>
        </w:rPr>
        <w:t xml:space="preserve">beyond</w:t>
      </w:r>
      <w:r>
        <w:t xml:space="preserve"> the band. "Hysteresis" is a physics term: the system ignores small stimuli and responds only to large ones — a noise filter.</w:t>
      </w:r>
    </w:p>
    <w:p>
      <w:pPr>
        <w:spacing w:after="140"/>
        <w:jc w:val="both"/>
      </w:pPr>
      <w:r>
        <w:t xml:space="preserve">The effect was dramatic: from 16 trades a day down to </w:t>
      </w:r>
      <w:r>
        <w:rPr>
          <w:b/>
          <w:bCs/>
        </w:rPr>
        <w:t xml:space="preserve">2.5</w:t>
      </w:r>
      <w:r>
        <w:t xml:space="preserve">, and with full conservative costs the strategy flipped into profit (CAGR +9.5%). Diagnostics showed why: 77% of the original trades were "whipsaws" — reversals within 15 minutes that collectively lost hundreds of percent. The band filtered them out. We also confirmed the other side of the coin: </w:t>
      </w:r>
      <w:r>
        <w:rPr>
          <w:b/>
          <w:bCs/>
        </w:rPr>
        <w:t xml:space="preserve">the top 1% of trades carried 2–3.6× the total profit.</w:t>
      </w:r>
      <w:r>
        <w:t xml:space="preserve"> Without the rare big winners, the strategy does not exist.</w:t>
      </w:r>
    </w:p>
    <w:p>
      <w:pPr>
        <w:pStyle w:val="Heading1"/>
        <w:spacing w:after="160" w:before="400"/>
      </w:pPr>
      <w:r>
        <w:t xml:space="preserve">7. Step R3: The one-shot test on unseen data</w:t>
      </w:r>
    </w:p>
    <w:p>
      <w:pPr>
        <w:spacing w:after="140"/>
        <w:jc w:val="both"/>
      </w:pPr>
      <w:r>
        <w:t xml:space="preserve">From the very beginning we kept a </w:t>
      </w:r>
      <w:r>
        <w:rPr>
          <w:b/>
          <w:bCs/>
        </w:rPr>
        <w:t xml:space="preserve">locked OOS window</w:t>
      </w:r>
      <w:r>
        <w:t xml:space="preserve">: data from October 1, 2025 onward, which we forbade ourselves to touch. Now came the time to use it — once — with rules written down in advance (a "frozen spec"): exactly which configuration is tested and how the result will be judged, written BEFORE the run, so nothing can be bent afterwards.</w:t>
      </w:r>
    </w:p>
    <w:p>
      <w:pPr>
        <w:spacing w:after="140"/>
        <w:jc w:val="both"/>
      </w:pPr>
      <w:r>
        <w:t xml:space="preserve">The result: gross +1.87%, with optimistic costs +1.11%, with conservative costs </w:t>
      </w:r>
      <w:r>
        <w:rPr>
          <w:b/>
          <w:bCs/>
        </w:rPr>
        <w:t xml:space="preserve">−1.33%</w:t>
      </w:r>
      <w:r>
        <w:t xml:space="preserve">. According to the pre-registered bands: </w:t>
      </w:r>
      <w:r>
        <w:rPr>
          <w:b/>
          <w:bCs/>
        </w:rPr>
        <w:t xml:space="preserve">INCONCLUSIVE</w:t>
      </w:r>
      <w:r>
        <w:t xml:space="preserve">. The strategy's mechanics worked (trade counts and win rate matched expectations), but the window was short (140 days) and the result weaker than history.</w:t>
      </w:r>
    </w:p>
    <w:p>
      <w:pPr>
        <w:pBdr>
          <w:left w:val="single" w:color="888888" w:sz="18" w:space="8"/>
        </w:pBdr>
        <w:spacing w:after="160"/>
        <w:ind w:left="480"/>
      </w:pPr>
      <w:r>
        <w:rPr>
          <w:i/>
          <w:iCs/>
        </w:rPr>
        <w:t xml:space="preserve">Lesson #2: A short OOS window is a coin flip. Statistically it cannot tell "the strategy works" from "the strategy is dead." We will return to this with Monte Carlo.</w:t>
      </w:r>
    </w:p>
    <w:p>
      <w:pPr>
        <w:pStyle w:val="Heading1"/>
        <w:spacing w:after="160" w:before="400"/>
      </w:pPr>
      <w:r>
        <w:t xml:space="preserve">8. Diagnosis D1: When does the strategy make money?</w:t>
      </w:r>
    </w:p>
    <w:p>
      <w:pPr>
        <w:spacing w:after="140"/>
        <w:jc w:val="both"/>
      </w:pPr>
      <w:r>
        <w:t xml:space="preserve">Instead of more tuning, we asked: </w:t>
      </w:r>
      <w:r>
        <w:rPr>
          <w:b/>
          <w:bCs/>
        </w:rPr>
        <w:t xml:space="preserve">under what conditions does the edge live?</w:t>
      </w:r>
      <w:r>
        <w:t xml:space="preserve"> A year-by-year decomposition showed a clear pattern: the edge correlates with market volatility (correlation +0.62). The calmest year of the sample (2019, volatility 11.9%) = the weakest edge; the wild years (2020, 2022) = the strongest. It makes sense: trend-following needs movement.</w:t>
      </w:r>
    </w:p>
    <w:p>
      <w:pPr>
        <w:spacing w:after="140"/>
        <w:jc w:val="both"/>
      </w:pPr>
      <w:r>
        <w:t xml:space="preserve">But we also found a warning: 2025–2026 delivered </w:t>
      </w:r>
      <w:r>
        <w:rPr>
          <w:b/>
          <w:bCs/>
        </w:rPr>
        <w:t xml:space="preserve">less edge than their volatility would predict</w:t>
      </w:r>
      <w:r>
        <w:t xml:space="preserve">. That could be the fingerprint of "crowding" — when too many people trade the same phenomenon, it fades. We wrote this suspicion down as something every future evaluation must watch.</w:t>
      </w:r>
    </w:p>
    <w:p>
      <w:pPr>
        <w:pStyle w:val="Heading1"/>
        <w:spacing w:after="160" w:before="400"/>
      </w:pPr>
      <w:r>
        <w:t xml:space="preserve">9. Diagnosis D2: Monte Carlo and the parameter map</w:t>
      </w:r>
    </w:p>
    <w:p>
      <w:pPr>
        <w:spacing w:after="140"/>
        <w:jc w:val="both"/>
      </w:pPr>
      <w:r>
        <w:t xml:space="preserve">Two questions: (1) How much of the −1.33% OOS result is noise? (2) Is the configuration overfitted to one lucky parameter value?</w:t>
      </w:r>
    </w:p>
    <w:p>
      <w:pPr>
        <w:spacing w:after="4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555555"/>
          <w:sz w:val="18"/>
          <w:szCs w:val="18"/>
        </w:rPr>
        <w:t xml:space="preserve">Monte Carlo: the distribution of possible strategy outcomes (10,000 resampled scenarios from historical trades).</w:t>
      </w:r>
    </w:p>
    <w:p>
      <w:pPr>
        <w:spacing w:after="140"/>
        <w:jc w:val="both"/>
      </w:pPr>
      <w:r>
        <w:t xml:space="preserve">The bootstrap answered the first question with brutal honesty: at the length of our OOS window, </w:t>
      </w:r>
      <w:r>
        <w:rPr>
          <w:b/>
          <w:bCs/>
        </w:rPr>
        <w:t xml:space="preserve">45% of random scenarios are positive and 55% negative</w:t>
      </w:r>
      <w:r>
        <w:t xml:space="preserve"> — the −1.33% result is therefore almost entirely noise. The window had no power to decide anything.</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A fan of equity curves from Monte Carlo — this is how wide the spread of possible fates of the very same strategy is.</w:t>
      </w:r>
    </w:p>
    <w:p>
      <w:pPr>
        <w:spacing w:after="4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55555"/>
          <w:sz w:val="18"/>
          <w:szCs w:val="18"/>
        </w:rPr>
        <w:t xml:space="preserve">The parameter map (band width × vol-targeting strength): one large connected island of good values = a healthy sign.</w:t>
      </w:r>
    </w:p>
    <w:p>
      <w:pPr>
        <w:spacing w:after="140"/>
        <w:jc w:val="both"/>
      </w:pPr>
      <w:r>
        <w:t xml:space="preserve">The second question came out well: the good parameters form </w:t>
      </w:r>
      <w:r>
        <w:rPr>
          <w:b/>
          <w:bCs/>
        </w:rPr>
        <w:t xml:space="preserve">one large connected island</w:t>
      </w:r>
      <w:r>
        <w:t xml:space="preserve"> (60% of the grid), not an isolated dot. Our configuration sits inside it. If only one exact value worked, it would be textbook overfitting.</w:t>
      </w:r>
    </w:p>
    <w:p>
      <w:pPr>
        <w:pStyle w:val="Heading1"/>
        <w:spacing w:after="160" w:before="400"/>
      </w:pPr>
      <w:r>
        <w:t xml:space="preserve">10. Dead end #2: the fixed take-profit</w:t>
      </w:r>
    </w:p>
    <w:p>
      <w:pPr>
        <w:spacing w:after="140"/>
        <w:jc w:val="both"/>
      </w:pPr>
      <w:r>
        <w:t xml:space="preserve">A tempting idea arrived: "let's add a fixed profit target for a higher win rate and less variance." We tested TP at 0.25×, 0.5× and 1× the trade's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EF4" w:val="clear"/>
            <w:tcMar>
              <w:top w:type="dxa" w:w="60"/>
              <w:left w:type="dxa" w:w="100"/>
              <w:bottom w:type="dxa" w:w="60"/>
              <w:right w:type="dxa" w:w="100"/>
            </w:tcMar>
          </w:tcPr>
          <w:p>
            <w:r>
              <w:rPr>
                <w:b/>
                <w:bCs/>
                <w:sz w:val="19"/>
                <w:szCs w:val="19"/>
              </w:rPr>
              <w:t xml:space="preserve">variant</w:t>
            </w:r>
          </w:p>
        </w:tc>
        <w:tc>
          <w:tcPr>
            <w:tcW w:type="dxa" w:w="3120"/>
            <w:shd w:fill="E8EEF4" w:val="clear"/>
            <w:tcMar>
              <w:top w:type="dxa" w:w="60"/>
              <w:left w:type="dxa" w:w="100"/>
              <w:bottom w:type="dxa" w:w="60"/>
              <w:right w:type="dxa" w:w="100"/>
            </w:tcMar>
          </w:tcPr>
          <w:p>
            <w:r>
              <w:rPr>
                <w:b/>
                <w:bCs/>
                <w:sz w:val="19"/>
                <w:szCs w:val="19"/>
              </w:rPr>
              <w:t xml:space="preserve">win rate</w:t>
            </w:r>
          </w:p>
        </w:tc>
        <w:tc>
          <w:tcPr>
            <w:tcW w:type="dxa" w:w="3120"/>
            <w:shd w:fill="E8EEF4" w:val="clear"/>
            <w:tcMar>
              <w:top w:type="dxa" w:w="60"/>
              <w:left w:type="dxa" w:w="100"/>
              <w:bottom w:type="dxa" w:w="60"/>
              <w:right w:type="dxa" w:w="100"/>
            </w:tcMar>
          </w:tcPr>
          <w:p>
            <w:r>
              <w:rPr>
                <w:b/>
                <w:bCs/>
                <w:sz w:val="19"/>
                <w:szCs w:val="19"/>
              </w:rPr>
              <w:t xml:space="preserve">CAGR (after costs)</w:t>
            </w:r>
          </w:p>
        </w:tc>
      </w:tr>
      <w:tr>
        <w:tc>
          <w:tcPr>
            <w:tcW w:type="dxa" w:w="3120"/>
            <w:tcMar>
              <w:top w:type="dxa" w:w="60"/>
              <w:left w:type="dxa" w:w="100"/>
              <w:bottom w:type="dxa" w:w="60"/>
              <w:right w:type="dxa" w:w="100"/>
            </w:tcMar>
          </w:tcPr>
          <w:p>
            <w:r>
              <w:rPr>
                <w:b w:val="false"/>
                <w:bCs w:val="false"/>
                <w:sz w:val="19"/>
                <w:szCs w:val="19"/>
              </w:rPr>
              <w:t xml:space="preserve">TP = 0.25× risk</w:t>
            </w:r>
          </w:p>
        </w:tc>
        <w:tc>
          <w:tcPr>
            <w:tcW w:type="dxa" w:w="3120"/>
            <w:tcMar>
              <w:top w:type="dxa" w:w="60"/>
              <w:left w:type="dxa" w:w="100"/>
              <w:bottom w:type="dxa" w:w="60"/>
              <w:right w:type="dxa" w:w="100"/>
            </w:tcMar>
          </w:tcPr>
          <w:p>
            <w:r>
              <w:rPr>
                <w:b w:val="false"/>
                <w:bCs w:val="false"/>
                <w:sz w:val="19"/>
                <w:szCs w:val="19"/>
              </w:rPr>
              <w:t xml:space="preserve">79.6%</w:t>
            </w:r>
          </w:p>
        </w:tc>
        <w:tc>
          <w:tcPr>
            <w:tcW w:type="dxa" w:w="3120"/>
            <w:tcMar>
              <w:top w:type="dxa" w:w="60"/>
              <w:left w:type="dxa" w:w="100"/>
              <w:bottom w:type="dxa" w:w="60"/>
              <w:right w:type="dxa" w:w="100"/>
            </w:tcMar>
          </w:tcPr>
          <w:p>
            <w:r>
              <w:rPr>
                <w:b w:val="false"/>
                <w:bCs w:val="false"/>
                <w:sz w:val="19"/>
                <w:szCs w:val="19"/>
              </w:rPr>
              <w:t xml:space="preserve">−11.3%</w:t>
            </w:r>
          </w:p>
        </w:tc>
      </w:tr>
      <w:tr>
        <w:tc>
          <w:tcPr>
            <w:tcW w:type="dxa" w:w="3120"/>
            <w:tcMar>
              <w:top w:type="dxa" w:w="60"/>
              <w:left w:type="dxa" w:w="100"/>
              <w:bottom w:type="dxa" w:w="60"/>
              <w:right w:type="dxa" w:w="100"/>
            </w:tcMar>
          </w:tcPr>
          <w:p>
            <w:r>
              <w:rPr>
                <w:b w:val="false"/>
                <w:bCs w:val="false"/>
                <w:sz w:val="19"/>
                <w:szCs w:val="19"/>
              </w:rPr>
              <w:t xml:space="preserve">TP = 0.5× risk</w:t>
            </w:r>
          </w:p>
        </w:tc>
        <w:tc>
          <w:tcPr>
            <w:tcW w:type="dxa" w:w="3120"/>
            <w:tcMar>
              <w:top w:type="dxa" w:w="60"/>
              <w:left w:type="dxa" w:w="100"/>
              <w:bottom w:type="dxa" w:w="60"/>
              <w:right w:type="dxa" w:w="100"/>
            </w:tcMar>
          </w:tcPr>
          <w:p>
            <w:r>
              <w:rPr>
                <w:b w:val="false"/>
                <w:bCs w:val="false"/>
                <w:sz w:val="19"/>
                <w:szCs w:val="19"/>
              </w:rPr>
              <w:t xml:space="preserve">66.3%</w:t>
            </w:r>
          </w:p>
        </w:tc>
        <w:tc>
          <w:tcPr>
            <w:tcW w:type="dxa" w:w="3120"/>
            <w:tcMar>
              <w:top w:type="dxa" w:w="60"/>
              <w:left w:type="dxa" w:w="100"/>
              <w:bottom w:type="dxa" w:w="60"/>
              <w:right w:type="dxa" w:w="100"/>
            </w:tcMar>
          </w:tcPr>
          <w:p>
            <w:r>
              <w:rPr>
                <w:b w:val="false"/>
                <w:bCs w:val="false"/>
                <w:sz w:val="19"/>
                <w:szCs w:val="19"/>
              </w:rPr>
              <w:t xml:space="preserve">−6.8%</w:t>
            </w:r>
          </w:p>
        </w:tc>
      </w:tr>
      <w:tr>
        <w:tc>
          <w:tcPr>
            <w:tcW w:type="dxa" w:w="3120"/>
            <w:tcMar>
              <w:top w:type="dxa" w:w="60"/>
              <w:left w:type="dxa" w:w="100"/>
              <w:bottom w:type="dxa" w:w="60"/>
              <w:right w:type="dxa" w:w="100"/>
            </w:tcMar>
          </w:tcPr>
          <w:p>
            <w:r>
              <w:rPr>
                <w:b w:val="false"/>
                <w:bCs w:val="false"/>
                <w:sz w:val="19"/>
                <w:szCs w:val="19"/>
              </w:rPr>
              <w:t xml:space="preserve">TP = 1× risk</w:t>
            </w:r>
          </w:p>
        </w:tc>
        <w:tc>
          <w:tcPr>
            <w:tcW w:type="dxa" w:w="3120"/>
            <w:tcMar>
              <w:top w:type="dxa" w:w="60"/>
              <w:left w:type="dxa" w:w="100"/>
              <w:bottom w:type="dxa" w:w="60"/>
              <w:right w:type="dxa" w:w="100"/>
            </w:tcMar>
          </w:tcPr>
          <w:p>
            <w:r>
              <w:rPr>
                <w:b w:val="false"/>
                <w:bCs w:val="false"/>
                <w:sz w:val="19"/>
                <w:szCs w:val="19"/>
              </w:rPr>
              <w:t xml:space="preserve">51.3%</w:t>
            </w:r>
          </w:p>
        </w:tc>
        <w:tc>
          <w:tcPr>
            <w:tcW w:type="dxa" w:w="3120"/>
            <w:tcMar>
              <w:top w:type="dxa" w:w="60"/>
              <w:left w:type="dxa" w:w="100"/>
              <w:bottom w:type="dxa" w:w="60"/>
              <w:right w:type="dxa" w:w="100"/>
            </w:tcMar>
          </w:tcPr>
          <w:p>
            <w:r>
              <w:rPr>
                <w:b w:val="false"/>
                <w:bCs w:val="false"/>
                <w:sz w:val="19"/>
                <w:szCs w:val="19"/>
              </w:rPr>
              <w:t xml:space="preserve">−1.2%</w:t>
            </w:r>
          </w:p>
        </w:tc>
      </w:tr>
      <w:tr>
        <w:tc>
          <w:tcPr>
            <w:tcW w:type="dxa" w:w="3120"/>
            <w:tcMar>
              <w:top w:type="dxa" w:w="60"/>
              <w:left w:type="dxa" w:w="100"/>
              <w:bottom w:type="dxa" w:w="60"/>
              <w:right w:type="dxa" w:w="100"/>
            </w:tcMar>
          </w:tcPr>
          <w:p>
            <w:r>
              <w:rPr>
                <w:b w:val="false"/>
                <w:bCs w:val="false"/>
                <w:sz w:val="19"/>
                <w:szCs w:val="19"/>
              </w:rPr>
              <w:t xml:space="preserve">no TP (original)</w:t>
            </w:r>
          </w:p>
        </w:tc>
        <w:tc>
          <w:tcPr>
            <w:tcW w:type="dxa" w:w="3120"/>
            <w:tcMar>
              <w:top w:type="dxa" w:w="60"/>
              <w:left w:type="dxa" w:w="100"/>
              <w:bottom w:type="dxa" w:w="60"/>
              <w:right w:type="dxa" w:w="100"/>
            </w:tcMar>
          </w:tcPr>
          <w:p>
            <w:r>
              <w:rPr>
                <w:b w:val="false"/>
                <w:bCs w:val="false"/>
                <w:sz w:val="19"/>
                <w:szCs w:val="19"/>
              </w:rPr>
              <w:t xml:space="preserve">36.4%</w:t>
            </w:r>
          </w:p>
        </w:tc>
        <w:tc>
          <w:tcPr>
            <w:tcW w:type="dxa" w:w="3120"/>
            <w:tcMar>
              <w:top w:type="dxa" w:w="60"/>
              <w:left w:type="dxa" w:w="100"/>
              <w:bottom w:type="dxa" w:w="60"/>
              <w:right w:type="dxa" w:w="100"/>
            </w:tcMar>
          </w:tcPr>
          <w:p>
            <w:r>
              <w:rPr>
                <w:b w:val="false"/>
                <w:bCs w:val="false"/>
                <w:sz w:val="19"/>
                <w:szCs w:val="19"/>
              </w:rPr>
              <w:t xml:space="preserve">+9.5%</w:t>
            </w:r>
          </w:p>
        </w:tc>
      </w:tr>
    </w:tbl>
    <w:p>
      <w:pPr>
        <w:spacing w:after="120"/>
      </w:pPr>
    </w:p>
    <w:p>
      <w:pPr>
        <w:spacing w:after="140"/>
        <w:jc w:val="both"/>
      </w:pPr>
      <w:r>
        <w:t xml:space="preserve">Look at that table carefully, because it is one of the most valuable lessons of the whole project: </w:t>
      </w:r>
      <w:r>
        <w:rPr>
          <w:b/>
          <w:bCs/>
        </w:rPr>
        <w:t xml:space="preserve">the higher the win rate, the bigger the loss.</w:t>
      </w:r>
      <w:r>
        <w:t xml:space="preserve"> A TP with an 80% win rate loses 11% a year! Why? Remember the DNA of trend-following: the profit comes from a few huge winners. A fixed TP systematically cuts them off ("picks the flowers, waters the weeds") and lets only the losses run.</w:t>
      </w:r>
    </w:p>
    <w:p>
      <w:pPr>
        <w:pBdr>
          <w:left w:val="single" w:color="888888" w:sz="18" w:space="8"/>
        </w:pBdr>
        <w:spacing w:after="160"/>
        <w:ind w:left="480"/>
      </w:pPr>
      <w:r>
        <w:rPr>
          <w:i/>
          <w:iCs/>
        </w:rPr>
        <w:t xml:space="preserve">Lesson #3: Win rate is a marketing number. A strategy with an 80% win rate can reliably go broke while a 36% win rate strategy reliably earns.</w:t>
      </w:r>
    </w:p>
    <w:p>
      <w:pPr>
        <w:pStyle w:val="Heading1"/>
        <w:spacing w:after="160" w:before="400"/>
      </w:pPr>
      <w:r>
        <w:t xml:space="preserve">11. A new variant: one trade per day</w:t>
      </w:r>
    </w:p>
    <w:p>
      <w:pPr>
        <w:spacing w:after="140"/>
        <w:jc w:val="both"/>
      </w:pPr>
      <w:r>
        <w:t xml:space="preserve">For real-world trading we reshaped the strategy into a more practical form: </w:t>
      </w:r>
      <w:r>
        <w:rPr>
          <w:b/>
          <w:bCs/>
        </w:rPr>
        <w:t xml:space="preserve">one trade per day</w:t>
      </w:r>
      <w:r>
        <w:t xml:space="preserve">. Rules: from 9:31, wait for a candle to close beyond the VWAP ±20 bps band → enter in the direction of the break. Exit: a close beyond the opposite band, or the end of the day (16:00). No reversing, no second attempt. This variant became the foundation of everything that followed.</w:t>
      </w:r>
    </w:p>
    <w:p>
      <w:pPr>
        <w:spacing w:after="4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Equity curve of the "one trade per day" variant: +89% over 7.7 years, win rate 36.9%.</w:t>
      </w:r>
    </w:p>
    <w:p>
      <w:pPr>
        <w:spacing w:after="4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555555"/>
          <w:sz w:val="18"/>
          <w:szCs w:val="18"/>
        </w:rPr>
        <w:t xml:space="preserve">Comparison: no TP (blue) vs. a fixed TP of 74.4 points (red). The TP again reduces the return — lesson #3 confirmed in a new disguise.</w:t>
      </w:r>
    </w:p>
    <w:p>
      <w:pPr>
        <w:spacing w:after="140"/>
        <w:jc w:val="both"/>
      </w:pPr>
      <w:r>
        <w:t xml:space="preserve">The numbers: </w:t>
      </w:r>
      <w:r>
        <w:rPr>
          <w:b/>
          <w:bCs/>
        </w:rPr>
        <w:t xml:space="preserve">+89% total, CAGR 8.6%, max drawdown −17.2%, 1,946 trades, win rate 36.9%.</w:t>
      </w:r>
      <w:r>
        <w:t xml:space="preserve"> For comparison we also ran a version with a real TP — and again: the TP raised the win rate to 47%, cut the drawdown, but reduced the return to a quarter. An honest note: simply holding the Nasdaq index over the same period earned more — the strategy's added value is not in raw return but in </w:t>
      </w:r>
      <w:r>
        <w:rPr>
          <w:b/>
          <w:bCs/>
        </w:rPr>
        <w:t xml:space="preserve">half the drawdown, zero overnight risk, and the ability to profit in declines too</w:t>
      </w:r>
      <w:r>
        <w:t xml:space="preserve"> (the short side).</w:t>
      </w:r>
    </w:p>
    <w:p>
      <w:pPr>
        <w:pStyle w:val="Heading1"/>
        <w:spacing w:after="160" w:before="400"/>
      </w:pPr>
      <w:r>
        <w:t xml:space="preserve">12. The robustness test: fan chart, cloud, and heatmaps</w:t>
      </w:r>
    </w:p>
    <w:p>
      <w:pPr>
        <w:spacing w:after="140"/>
        <w:jc w:val="both"/>
      </w:pPr>
      <w:r>
        <w:t xml:space="preserve">Before you believe anything, you must try to break it. We ran four tests:</w:t>
      </w:r>
    </w:p>
    <w:p>
      <w:pPr>
        <w:pStyle w:val="Heading2"/>
        <w:spacing w:after="120" w:before="280"/>
      </w:pPr>
      <w:r>
        <w:t xml:space="preserve">12.1 The spaghetti fan chart — reality vs. expectations</w:t>
      </w:r>
    </w:p>
    <w:p>
      <w:pPr>
        <w:spacing w:after="4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i/>
          <w:iCs/>
          <w:color w:val="555555"/>
          <w:sz w:val="18"/>
          <w:szCs w:val="18"/>
        </w:rPr>
        <w:t xml:space="preserve">500 randomly replayed scenarios (colored paths) and the actual result on the newest data (yellow path).</w:t>
      </w:r>
    </w:p>
    <w:p>
      <w:pPr>
        <w:spacing w:after="140"/>
        <w:jc w:val="both"/>
      </w:pPr>
      <w:r>
        <w:t xml:space="preserve">We took the historical daily returns, generated 500 alternative futures, and drew the </w:t>
      </w:r>
      <w:r>
        <w:rPr>
          <w:b/>
          <w:bCs/>
        </w:rPr>
        <w:t xml:space="preserve">actual</w:t>
      </w:r>
      <w:r>
        <w:t xml:space="preserve"> result from the newest data (October 2025 – April 2026) on top: </w:t>
      </w:r>
      <w:r>
        <w:rPr>
          <w:b/>
          <w:bCs/>
        </w:rPr>
        <w:t xml:space="preserve">+1.29%, i.e. the 30th percentile</w:t>
      </w:r>
      <w:r>
        <w:t xml:space="preserve">. Reading: reality stays inside the fan of expectations, but below its middle — the edge exists, but weaker than the historical average promised.</w:t>
      </w:r>
    </w:p>
    <w:p>
      <w:pPr>
        <w:pStyle w:val="Heading2"/>
        <w:spacing w:after="120" w:before="280"/>
      </w:pPr>
      <w:r>
        <w:t xml:space="preserve">12.2 The outcome cloud</w:t>
      </w:r>
    </w:p>
    <w:p>
      <w:pPr>
        <w:spacing w:after="40" w:before="12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i/>
          <w:iCs/>
          <w:color w:val="555555"/>
          <w:sz w:val="18"/>
          <w:szCs w:val="18"/>
        </w:rPr>
        <w:t xml:space="preserve">Each dot = one scenario (vertical: return, horizontal: worst drawdown). The star = reality. 74% of scenarios positive.</w:t>
      </w:r>
    </w:p>
    <w:p>
      <w:pPr>
        <w:pStyle w:val="Heading2"/>
        <w:spacing w:after="120" w:before="280"/>
      </w:pPr>
      <w:r>
        <w:t xml:space="preserve">12.3 Parameter stability across years</w:t>
      </w:r>
    </w:p>
    <w:p>
      <w:pPr>
        <w:spacing w:after="4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55555"/>
          <w:sz w:val="18"/>
          <w:szCs w:val="18"/>
        </w:rPr>
        <w:t xml:space="preserve">Annual returns by band width. The blue box = our 20 bps band.</w:t>
      </w:r>
    </w:p>
    <w:p>
      <w:pPr>
        <w:pStyle w:val="Heading2"/>
        <w:spacing w:after="120" w:before="280"/>
      </w:pPr>
      <w:r>
        <w:t xml:space="preserve">12.4 The big 2D map: the overfitting check</w:t>
      </w:r>
    </w:p>
    <w:p>
      <w:pPr>
        <w:spacing w:after="4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555555"/>
          <w:sz w:val="18"/>
          <w:szCs w:val="18"/>
        </w:rPr>
        <w:t xml:space="preserve">96 combinations (band width × TP distance). Bright zone = profit. The cross = our configuration.</w:t>
      </w:r>
    </w:p>
    <w:p>
      <w:pPr>
        <w:spacing w:after="140"/>
        <w:jc w:val="both"/>
      </w:pPr>
      <w:r>
        <w:t xml:space="preserve">This is the visual overfitting test: an overfitted strategy looks like </w:t>
      </w:r>
      <w:r>
        <w:rPr>
          <w:b/>
          <w:bCs/>
        </w:rPr>
        <w:t xml:space="preserve">one bright pixel in dark noise</w:t>
      </w:r>
      <w:r>
        <w:t xml:space="preserve">; a robust one like </w:t>
      </w:r>
      <w:r>
        <w:rPr>
          <w:b/>
          <w:bCs/>
        </w:rPr>
        <w:t xml:space="preserve">a broad bright plateau</w:t>
      </w:r>
      <w:r>
        <w:t xml:space="preserve">. Our map showed a plateau — all 96 combinations positive, a wide bright zone. One warning remained: our 20 bps band sits exactly at the </w:t>
      </w:r>
      <w:r>
        <w:rPr>
          <w:b/>
          <w:bCs/>
        </w:rPr>
        <w:t xml:space="preserve">peak</w:t>
      </w:r>
      <w:r>
        <w:t xml:space="preserve"> of that plateau. A peak is always partly luck — the realistic expectation is the average of the neighborhood, not the peak.</w:t>
      </w:r>
    </w:p>
    <w:p>
      <w:pPr>
        <w:pStyle w:val="Heading1"/>
        <w:spacing w:after="160" w:before="400"/>
      </w:pPr>
      <w:r>
        <w:t xml:space="preserve">13. Why the strategy stagnated in 2019–2020</w:t>
      </w:r>
    </w:p>
    <w:p>
      <w:pPr>
        <w:spacing w:after="140"/>
        <w:jc w:val="both"/>
      </w:pPr>
      <w:r>
        <w:t xml:space="preserve">The equity curve shows a two-year dead zone. The breakdown revealed two different causes: </w:t>
      </w:r>
      <w:r>
        <w:rPr>
          <w:b/>
          <w:bCs/>
        </w:rPr>
        <w:t xml:space="preserve">2019</w:t>
      </w:r>
      <w:r>
        <w:t xml:space="preserve"> had the lowest volatility of the sample — the market crawled upward millimeter by millimeter, no intraday trends, whipsaws everywhere (+4.5%). </w:t>
      </w:r>
      <w:r>
        <w:rPr>
          <w:b/>
          <w:bCs/>
        </w:rPr>
        <w:t xml:space="preserve">2020</w:t>
      </w:r>
      <w:r>
        <w:t xml:space="preserve"> is a paradox: enormous volatility (COVID), but our "one trade per day" cap meant the first signal often fired in the insane open, got stopped immediately — and the day was over. We watched the afternoon trend from the bench (−3.3%). The uncapped variant made +13.7% that year — the cap caused the loss, not the signal. This insight became the engine of the next chapter.</w:t>
      </w:r>
    </w:p>
    <w:p>
      <w:pPr>
        <w:pStyle w:val="Heading1"/>
        <w:spacing w:after="160" w:before="400"/>
      </w:pPr>
      <w:r>
        <w:t xml:space="preserve">14. Improvement — Phase A: mechanics and conditions</w:t>
      </w:r>
    </w:p>
    <w:p>
      <w:pPr>
        <w:spacing w:after="140"/>
        <w:jc w:val="both"/>
      </w:pPr>
      <w:r>
        <w:t xml:space="preserve">We set out to improve the strategy — but with rules written in advance: everything on IS data only (the OOS no longer existed), an improvement must raise CAGR by 2 points OR sharply cut the drawdown, must hold in most years, and neighboring parameter values must agree. Two hypotheses from the previous chapter: </w:t>
      </w:r>
      <w:r>
        <w:rPr>
          <w:b/>
          <w:bCs/>
        </w:rPr>
        <w:t xml:space="preserve">H1</w:t>
      </w:r>
      <w:r>
        <w:t xml:space="preserve"> — skip the chaotic open (enter only from 9:45/10:00/10:30); </w:t>
      </w:r>
      <w:r>
        <w:rPr>
          <w:b/>
          <w:bCs/>
        </w:rPr>
        <w:t xml:space="preserve">H2</w:t>
      </w:r>
      <w:r>
        <w:t xml:space="preserve"> — allow a second attempt after a morning stop-out (max 2–4 trades per day).</w:t>
      </w:r>
    </w:p>
    <w:p>
      <w:pPr>
        <w:spacing w:after="4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The grid of 12 variants (entry time × max trades) broken down by year.</w:t>
      </w:r>
    </w:p>
    <w:p>
      <w:pPr>
        <w:spacing w:after="140"/>
        <w:jc w:val="both"/>
      </w:pPr>
      <w:r>
        <w:t xml:space="preserve">The result cooled the enthusiasm: </w:t>
      </w:r>
      <w:r>
        <w:rPr>
          <w:b/>
          <w:bCs/>
        </w:rPr>
        <w:t xml:space="preserve">H2</w:t>
      </w:r>
      <w:r>
        <w:t xml:space="preserve"> raised total returns but won year-by-year in only 4 of 8 years and lowered the Sharpe — the gains came mostly from 2018/2020 while recent years got worse. It failed the criteria. </w:t>
      </w:r>
      <w:r>
        <w:rPr>
          <w:b/>
          <w:bCs/>
        </w:rPr>
        <w:t xml:space="preserve">H1</w:t>
      </w:r>
      <w:r>
        <w:t xml:space="preserve"> turned out to be pure noise (results jumped around without logic). The single promising point — the 10:00 entry — had bad neighbors: a classic suspicious spike.</w:t>
      </w:r>
    </w:p>
    <w:p>
      <w:pPr>
        <w:spacing w:after="40" w:before="12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600200"/>
                    </a:xfrm>
                    <a:prstGeom prst="rect">
                      <a:avLst/>
                    </a:prstGeom>
                  </pic:spPr>
                </pic:pic>
              </a:graphicData>
            </a:graphic>
          </wp:inline>
        </w:drawing>
      </w:r>
    </w:p>
    <w:p>
      <w:pPr>
        <w:spacing w:after="200"/>
        <w:jc w:val="center"/>
      </w:pPr>
      <w:r>
        <w:rPr>
          <w:i/>
          <w:iCs/>
          <w:color w:val="555555"/>
          <w:sz w:val="18"/>
          <w:szCs w:val="18"/>
        </w:rPr>
        <w:t xml:space="preserve">The condition analysis: the strategy's average daily return by quintile of five measurable morning variables.</w:t>
      </w:r>
    </w:p>
    <w:p>
      <w:pPr>
        <w:spacing w:after="140"/>
        <w:jc w:val="both"/>
      </w:pPr>
      <w:r>
        <w:t xml:space="preserve">But the </w:t>
      </w:r>
      <w:r>
        <w:rPr>
          <w:b/>
          <w:bCs/>
        </w:rPr>
        <w:t xml:space="preserve">condition-first analysis</w:t>
      </w:r>
      <w:r>
        <w:t xml:space="preserve"> (measure conditions first, then test) struck gold: days with a wide first-30-minutes range (fhr) gave the strategy +16 bps per day (statistically strong, t = 3.6), and the overnight gap showed a weaker hint too. The logic: trend-following needs days with morning energy.</w:t>
      </w:r>
    </w:p>
    <w:p>
      <w:pPr>
        <w:pStyle w:val="Heading1"/>
        <w:spacing w:after="160" w:before="400"/>
      </w:pPr>
      <w:r>
        <w:t xml:space="preserve">15. Phase B: gates — dead end #3 and an unexpected winner</w:t>
      </w:r>
    </w:p>
    <w:p>
      <w:pPr>
        <w:spacing w:after="140"/>
        <w:jc w:val="both"/>
      </w:pPr>
      <w:r>
        <w:t xml:space="preserve">We built "gates" (a gate = a condition without which the day is not traded at all). Thresholds were computed as a rolling percentile of the last 250 days </w:t>
      </w:r>
      <w:r>
        <w:rPr>
          <w:b/>
          <w:bCs/>
        </w:rPr>
        <w:t xml:space="preserve">from past data only</w:t>
      </w:r>
      <w:r>
        <w:t xml:space="preserve"> — no peeking into the future. And something instructive happened:</w:t>
      </w:r>
    </w:p>
    <w:p>
      <w:pPr>
        <w:pStyle w:val="ListParagraph"/>
        <w:numPr>
          <w:ilvl w:val="0"/>
          <w:numId w:val="2"/>
        </w:numPr>
        <w:spacing w:after="80"/>
      </w:pPr>
      <w:r>
        <w:rPr>
          <w:b/>
          <w:bCs/>
        </w:rPr>
        <w:t xml:space="preserve">The fhr gate (our favorite, from the strong signal) FAILED.</w:t>
      </w:r>
      <w:r>
        <w:t xml:space="preserve"> The stricter the threshold, the worse the result (+91% → +72% → +62% versus +101% without the filter). The beautiful signal from the analysis did not transfer into a trading rule. Dead end #3 — and exactly why hypotheses are tested rather than believed.</w:t>
      </w:r>
    </w:p>
    <w:p>
      <w:pPr>
        <w:pStyle w:val="ListParagraph"/>
        <w:numPr>
          <w:ilvl w:val="0"/>
          <w:numId w:val="2"/>
        </w:numPr>
        <w:spacing w:after="80"/>
      </w:pPr>
      <w:r>
        <w:rPr>
          <w:b/>
          <w:bCs/>
        </w:rPr>
        <w:t xml:space="preserve">The gap gate (the outsider) WON.</w:t>
      </w:r>
      <w:r>
        <w:t xml:space="preserve"> Skipping just the 20% of days with the smallest overnight gap: return +141%, Sharpe from 0.89 to 1.21, better in 6 of 8 years — and above all, it improved precisely the recent "suspicious" years 2023 and 2025.</w:t>
      </w:r>
    </w:p>
    <w:p>
      <w:pPr>
        <w:pStyle w:val="ListParagraph"/>
        <w:numPr>
          <w:ilvl w:val="0"/>
          <w:numId w:val="2"/>
        </w:numPr>
        <w:spacing w:after="80"/>
      </w:pPr>
      <w:r>
        <w:rPr>
          <w:b/>
          <w:bCs/>
        </w:rPr>
        <w:t xml:space="preserve">The pt gate (skip the day after a strongly trending day)</w:t>
      </w:r>
      <w:r>
        <w:t xml:space="preserve"> did not change the return but halved the drawdown (−7.5%). Filed as a risk damper.</w:t>
      </w:r>
    </w:p>
    <w:p>
      <w:pPr>
        <w:pBdr>
          <w:left w:val="single" w:color="888888" w:sz="18" w:space="8"/>
        </w:pBdr>
        <w:spacing w:after="160"/>
        <w:ind w:left="480"/>
      </w:pPr>
      <w:r>
        <w:rPr>
          <w:i/>
          <w:iCs/>
        </w:rPr>
        <w:t xml:space="preserve">Lesson #4: The strength of a statistical signal does not equal the usefulness of a rule. And an inconspicuous signal can make a great rule. Test, don't believe.</w:t>
      </w:r>
    </w:p>
    <w:p>
      <w:pPr>
        <w:pStyle w:val="Heading1"/>
        <w:spacing w:after="160" w:before="400"/>
      </w:pPr>
      <w:r>
        <w:t xml:space="preserve">16. Phase C: is the gap gate luck? The plateau test</w:t>
      </w:r>
    </w:p>
    <w:p>
      <w:pPr>
        <w:spacing w:after="4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i/>
          <w:iCs/>
          <w:color w:val="555555"/>
          <w:sz w:val="18"/>
          <w:szCs w:val="18"/>
        </w:rPr>
        <w:t xml:space="preserve">The gap-gate threshold sweep: return (blue) and Sharpe (red) by percentile. The green zone = the working plateau 15–30.</w:t>
      </w:r>
    </w:p>
    <w:p>
      <w:pPr>
        <w:spacing w:after="140"/>
        <w:jc w:val="both"/>
      </w:pPr>
      <w:r>
        <w:t xml:space="preserve">One winning threshold can be luck. So we swept the whole neighborhood: thresholds 10, 15, 20, 25, 30, 40. The result: a </w:t>
      </w:r>
      <w:r>
        <w:rPr>
          <w:b/>
          <w:bCs/>
        </w:rPr>
        <w:t xml:space="preserve">plateau at 15–30</w:t>
      </w:r>
      <w:r>
        <w:t xml:space="preserve"> (returns +119 to +141%, Sharpe 1.07–1.25), with logical edges (threshold 10 barely filters, threshold 40 already cuts good days). Exactly the shape of a "robust strategy," not a lonely pixel. Following the band lesson, we chose to deploy the </w:t>
      </w:r>
      <w:r>
        <w:rPr>
          <w:b/>
          <w:bCs/>
        </w:rPr>
        <w:t xml:space="preserve">middle of the plateau (25)</w:t>
      </w:r>
      <w:r>
        <w:t xml:space="preserve">, not the peak.</w:t>
      </w:r>
    </w:p>
    <w:p>
      <w:pPr>
        <w:pStyle w:val="Heading1"/>
        <w:spacing w:after="160" w:before="400"/>
      </w:pPr>
      <w:r>
        <w:t xml:space="preserve">17. Phase D: the independence test</w:t>
      </w:r>
    </w:p>
    <w:p>
      <w:pPr>
        <w:spacing w:after="4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The gap gate applied to both entry times — it helps both branches, but the big gain requires the suspicious 10:00 entry.</w:t>
      </w:r>
    </w:p>
    <w:p>
      <w:pPr>
        <w:spacing w:after="140"/>
        <w:jc w:val="both"/>
      </w:pPr>
      <w:r>
        <w:t xml:space="preserve">One uncomfortable question remained: phases B/C ran on the 10:00-entry base — which we ourselves had earlier flagged as a suspicious spike. Is the credit in the gate, or in that entry? The test: the gap gate on the </w:t>
      </w:r>
      <w:r>
        <w:rPr>
          <w:b/>
          <w:bCs/>
        </w:rPr>
        <w:t xml:space="preserve">original</w:t>
      </w:r>
      <w:r>
        <w:t xml:space="preserve"> 9:31 entry. The answer: the gate helps there too (Sharpe 0.85 → 1.05, the year 2025 from −1% to +4%), but more mildly (CAGR only +0.8 points — below our 2-point bar). The honest conclusion: </w:t>
      </w:r>
      <w:r>
        <w:rPr>
          <w:b/>
          <w:bCs/>
        </w:rPr>
        <w:t xml:space="preserve">the gap gate = a real but modest improvement of the risk profile; the big return numbers must not be promised</w:t>
      </w:r>
      <w:r>
        <w:t xml:space="preserve">, because they rest on a shaky foundation.</w:t>
      </w:r>
    </w:p>
    <w:p>
      <w:pPr>
        <w:pStyle w:val="Heading1"/>
        <w:spacing w:after="160" w:before="400"/>
      </w:pPr>
      <w:r>
        <w:t xml:space="preserve">18. Phase E: the closing run and the final configuration</w:t>
      </w:r>
    </w:p>
    <w:p>
      <w:pPr>
        <w:spacing w:after="140"/>
        <w:jc w:val="both"/>
      </w:pPr>
      <w:r>
        <w:t xml:space="preserve">The last run — pre-registered, with tuning to end afterwards: (a) add the pt gate on top of the gap gate, (b) decompose the results into the long and short halves.</w:t>
      </w:r>
    </w:p>
    <w:p>
      <w:pPr>
        <w:spacing w:after="40" w:before="12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555555"/>
          <w:sz w:val="18"/>
          <w:szCs w:val="18"/>
        </w:rPr>
        <w:t xml:space="preserve">The final configuration: equity curve. +117%, CAGR 10.5%, Sharpe 1.40, max drawdown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8EEF4" w:val="clear"/>
            <w:tcMar>
              <w:top w:type="dxa" w:w="60"/>
              <w:left w:type="dxa" w:w="100"/>
              <w:bottom w:type="dxa" w:w="60"/>
              <w:right w:type="dxa" w:w="100"/>
            </w:tcMar>
          </w:tcPr>
          <w:p>
            <w:r>
              <w:rPr>
                <w:b/>
                <w:bCs/>
                <w:sz w:val="19"/>
                <w:szCs w:val="19"/>
              </w:rPr>
              <w:t xml:space="preserve">variant</w:t>
            </w:r>
          </w:p>
        </w:tc>
        <w:tc>
          <w:tcPr>
            <w:tcW w:type="dxa" w:w="1872"/>
            <w:shd w:fill="E8EEF4" w:val="clear"/>
            <w:tcMar>
              <w:top w:type="dxa" w:w="60"/>
              <w:left w:type="dxa" w:w="100"/>
              <w:bottom w:type="dxa" w:w="60"/>
              <w:right w:type="dxa" w:w="100"/>
            </w:tcMar>
          </w:tcPr>
          <w:p>
            <w:r>
              <w:rPr>
                <w:b/>
                <w:bCs/>
                <w:sz w:val="19"/>
                <w:szCs w:val="19"/>
              </w:rPr>
              <w:t xml:space="preserve">return</w:t>
            </w:r>
          </w:p>
        </w:tc>
        <w:tc>
          <w:tcPr>
            <w:tcW w:type="dxa" w:w="1872"/>
            <w:shd w:fill="E8EEF4" w:val="clear"/>
            <w:tcMar>
              <w:top w:type="dxa" w:w="60"/>
              <w:left w:type="dxa" w:w="100"/>
              <w:bottom w:type="dxa" w:w="60"/>
              <w:right w:type="dxa" w:w="100"/>
            </w:tcMar>
          </w:tcPr>
          <w:p>
            <w:r>
              <w:rPr>
                <w:b/>
                <w:bCs/>
                <w:sz w:val="19"/>
                <w:szCs w:val="19"/>
              </w:rPr>
              <w:t xml:space="preserve">CAGR</w:t>
            </w:r>
          </w:p>
        </w:tc>
        <w:tc>
          <w:tcPr>
            <w:tcW w:type="dxa" w:w="1872"/>
            <w:shd w:fill="E8EEF4" w:val="clear"/>
            <w:tcMar>
              <w:top w:type="dxa" w:w="60"/>
              <w:left w:type="dxa" w:w="100"/>
              <w:bottom w:type="dxa" w:w="60"/>
              <w:right w:type="dxa" w:w="100"/>
            </w:tcMar>
          </w:tcPr>
          <w:p>
            <w:r>
              <w:rPr>
                <w:b/>
                <w:bCs/>
                <w:sz w:val="19"/>
                <w:szCs w:val="19"/>
              </w:rPr>
              <w:t xml:space="preserve">MDD</w:t>
            </w:r>
          </w:p>
        </w:tc>
        <w:tc>
          <w:tcPr>
            <w:tcW w:type="dxa" w:w="1872"/>
            <w:shd w:fill="E8EEF4" w:val="clear"/>
            <w:tcMar>
              <w:top w:type="dxa" w:w="60"/>
              <w:left w:type="dxa" w:w="100"/>
              <w:bottom w:type="dxa" w:w="60"/>
              <w:right w:type="dxa" w:w="100"/>
            </w:tcMar>
          </w:tcPr>
          <w:p>
            <w:r>
              <w:rPr>
                <w:b/>
                <w:bCs/>
                <w:sz w:val="19"/>
                <w:szCs w:val="19"/>
              </w:rPr>
              <w:t xml:space="preserve">Sharpe</w:t>
            </w:r>
          </w:p>
        </w:tc>
      </w:tr>
      <w:tr>
        <w:tc>
          <w:tcPr>
            <w:tcW w:type="dxa" w:w="1872"/>
            <w:tcMar>
              <w:top w:type="dxa" w:w="60"/>
              <w:left w:type="dxa" w:w="100"/>
              <w:bottom w:type="dxa" w:w="60"/>
              <w:right w:type="dxa" w:w="100"/>
            </w:tcMar>
          </w:tcPr>
          <w:p>
            <w:r>
              <w:rPr>
                <w:b w:val="false"/>
                <w:bCs w:val="false"/>
                <w:sz w:val="19"/>
                <w:szCs w:val="19"/>
              </w:rPr>
              <w:t xml:space="preserve">base (9:31, no gates)</w:t>
            </w:r>
          </w:p>
        </w:tc>
        <w:tc>
          <w:tcPr>
            <w:tcW w:type="dxa" w:w="1872"/>
            <w:tcMar>
              <w:top w:type="dxa" w:w="60"/>
              <w:left w:type="dxa" w:w="100"/>
              <w:bottom w:type="dxa" w:w="60"/>
              <w:right w:type="dxa" w:w="100"/>
            </w:tcMar>
          </w:tcPr>
          <w:p>
            <w:r>
              <w:rPr>
                <w:b w:val="false"/>
                <w:bCs w:val="false"/>
                <w:sz w:val="19"/>
                <w:szCs w:val="19"/>
              </w:rPr>
              <w:t xml:space="preserve">+91%</w:t>
            </w:r>
          </w:p>
        </w:tc>
        <w:tc>
          <w:tcPr>
            <w:tcW w:type="dxa" w:w="1872"/>
            <w:tcMar>
              <w:top w:type="dxa" w:w="60"/>
              <w:left w:type="dxa" w:w="100"/>
              <w:bottom w:type="dxa" w:w="60"/>
              <w:right w:type="dxa" w:w="100"/>
            </w:tcMar>
          </w:tcPr>
          <w:p>
            <w:r>
              <w:rPr>
                <w:b w:val="false"/>
                <w:bCs w:val="false"/>
                <w:sz w:val="19"/>
                <w:szCs w:val="19"/>
              </w:rPr>
              <w:t xml:space="preserve">+8.7%</w:t>
            </w:r>
          </w:p>
        </w:tc>
        <w:tc>
          <w:tcPr>
            <w:tcW w:type="dxa" w:w="1872"/>
            <w:tcMar>
              <w:top w:type="dxa" w:w="60"/>
              <w:left w:type="dxa" w:w="100"/>
              <w:bottom w:type="dxa" w:w="60"/>
              <w:right w:type="dxa" w:w="100"/>
            </w:tcMar>
          </w:tcPr>
          <w:p>
            <w:r>
              <w:rPr>
                <w:b w:val="false"/>
                <w:bCs w:val="false"/>
                <w:sz w:val="19"/>
                <w:szCs w:val="19"/>
              </w:rPr>
              <w:t xml:space="preserve">−17.2%</w:t>
            </w:r>
          </w:p>
        </w:tc>
        <w:tc>
          <w:tcPr>
            <w:tcW w:type="dxa" w:w="1872"/>
            <w:tcMar>
              <w:top w:type="dxa" w:w="60"/>
              <w:left w:type="dxa" w:w="100"/>
              <w:bottom w:type="dxa" w:w="60"/>
              <w:right w:type="dxa" w:w="100"/>
            </w:tcMar>
          </w:tcPr>
          <w:p>
            <w:r>
              <w:rPr>
                <w:b w:val="false"/>
                <w:bCs w:val="false"/>
                <w:sz w:val="19"/>
                <w:szCs w:val="19"/>
              </w:rPr>
              <w:t xml:space="preserve">0.85</w:t>
            </w:r>
          </w:p>
        </w:tc>
      </w:tr>
      <w:tr>
        <w:tc>
          <w:tcPr>
            <w:tcW w:type="dxa" w:w="1872"/>
            <w:tcMar>
              <w:top w:type="dxa" w:w="60"/>
              <w:left w:type="dxa" w:w="100"/>
              <w:bottom w:type="dxa" w:w="60"/>
              <w:right w:type="dxa" w:w="100"/>
            </w:tcMar>
          </w:tcPr>
          <w:p>
            <w:r>
              <w:rPr>
                <w:b w:val="false"/>
                <w:bCs w:val="false"/>
                <w:sz w:val="19"/>
                <w:szCs w:val="19"/>
              </w:rPr>
              <w:t xml:space="preserve">+ gap gate 25</w:t>
            </w:r>
          </w:p>
        </w:tc>
        <w:tc>
          <w:tcPr>
            <w:tcW w:type="dxa" w:w="1872"/>
            <w:tcMar>
              <w:top w:type="dxa" w:w="60"/>
              <w:left w:type="dxa" w:w="100"/>
              <w:bottom w:type="dxa" w:w="60"/>
              <w:right w:type="dxa" w:w="100"/>
            </w:tcMar>
          </w:tcPr>
          <w:p>
            <w:r>
              <w:rPr>
                <w:b w:val="false"/>
                <w:bCs w:val="false"/>
                <w:sz w:val="19"/>
                <w:szCs w:val="19"/>
              </w:rPr>
              <w:t xml:space="preserve">+102%</w:t>
            </w:r>
          </w:p>
        </w:tc>
        <w:tc>
          <w:tcPr>
            <w:tcW w:type="dxa" w:w="1872"/>
            <w:tcMar>
              <w:top w:type="dxa" w:w="60"/>
              <w:left w:type="dxa" w:w="100"/>
              <w:bottom w:type="dxa" w:w="60"/>
              <w:right w:type="dxa" w:w="100"/>
            </w:tcMar>
          </w:tcPr>
          <w:p>
            <w:r>
              <w:rPr>
                <w:b w:val="false"/>
                <w:bCs w:val="false"/>
                <w:sz w:val="19"/>
                <w:szCs w:val="19"/>
              </w:rPr>
              <w:t xml:space="preserve">+9.5%</w:t>
            </w:r>
          </w:p>
        </w:tc>
        <w:tc>
          <w:tcPr>
            <w:tcW w:type="dxa" w:w="1872"/>
            <w:tcMar>
              <w:top w:type="dxa" w:w="60"/>
              <w:left w:type="dxa" w:w="100"/>
              <w:bottom w:type="dxa" w:w="60"/>
              <w:right w:type="dxa" w:w="100"/>
            </w:tcMar>
          </w:tcPr>
          <w:p>
            <w:r>
              <w:rPr>
                <w:b w:val="false"/>
                <w:bCs w:val="false"/>
                <w:sz w:val="19"/>
                <w:szCs w:val="19"/>
              </w:rPr>
              <w:t xml:space="preserve">−15.7%</w:t>
            </w:r>
          </w:p>
        </w:tc>
        <w:tc>
          <w:tcPr>
            <w:tcW w:type="dxa" w:w="1872"/>
            <w:tcMar>
              <w:top w:type="dxa" w:w="60"/>
              <w:left w:type="dxa" w:w="100"/>
              <w:bottom w:type="dxa" w:w="60"/>
              <w:right w:type="dxa" w:w="100"/>
            </w:tcMar>
          </w:tcPr>
          <w:p>
            <w:r>
              <w:rPr>
                <w:b w:val="false"/>
                <w:bCs w:val="false"/>
                <w:sz w:val="19"/>
                <w:szCs w:val="19"/>
              </w:rPr>
              <w:t xml:space="preserve">1.05</w:t>
            </w:r>
          </w:p>
        </w:tc>
      </w:tr>
      <w:tr>
        <w:tc>
          <w:tcPr>
            <w:tcW w:type="dxa" w:w="1872"/>
            <w:tcMar>
              <w:top w:type="dxa" w:w="60"/>
              <w:left w:type="dxa" w:w="100"/>
              <w:bottom w:type="dxa" w:w="60"/>
              <w:right w:type="dxa" w:w="100"/>
            </w:tcMar>
          </w:tcPr>
          <w:p>
            <w:r>
              <w:rPr>
                <w:b w:val="false"/>
                <w:bCs w:val="false"/>
                <w:sz w:val="19"/>
                <w:szCs w:val="19"/>
              </w:rPr>
              <w:t xml:space="preserve">+ gap 25 + trend 60 (FINAL)</w:t>
            </w:r>
          </w:p>
        </w:tc>
        <w:tc>
          <w:tcPr>
            <w:tcW w:type="dxa" w:w="1872"/>
            <w:tcMar>
              <w:top w:type="dxa" w:w="60"/>
              <w:left w:type="dxa" w:w="100"/>
              <w:bottom w:type="dxa" w:w="60"/>
              <w:right w:type="dxa" w:w="100"/>
            </w:tcMar>
          </w:tcPr>
          <w:p>
            <w:r>
              <w:rPr>
                <w:b w:val="false"/>
                <w:bCs w:val="false"/>
                <w:sz w:val="19"/>
                <w:szCs w:val="19"/>
              </w:rPr>
              <w:t xml:space="preserve">+117%</w:t>
            </w:r>
          </w:p>
        </w:tc>
        <w:tc>
          <w:tcPr>
            <w:tcW w:type="dxa" w:w="1872"/>
            <w:tcMar>
              <w:top w:type="dxa" w:w="60"/>
              <w:left w:type="dxa" w:w="100"/>
              <w:bottom w:type="dxa" w:w="60"/>
              <w:right w:type="dxa" w:w="100"/>
            </w:tcMar>
          </w:tcPr>
          <w:p>
            <w:r>
              <w:rPr>
                <w:b w:val="false"/>
                <w:bCs w:val="false"/>
                <w:sz w:val="19"/>
                <w:szCs w:val="19"/>
              </w:rPr>
              <w:t xml:space="preserve">+10.5%</w:t>
            </w:r>
          </w:p>
        </w:tc>
        <w:tc>
          <w:tcPr>
            <w:tcW w:type="dxa" w:w="1872"/>
            <w:tcMar>
              <w:top w:type="dxa" w:w="60"/>
              <w:left w:type="dxa" w:w="100"/>
              <w:bottom w:type="dxa" w:w="60"/>
              <w:right w:type="dxa" w:w="100"/>
            </w:tcMar>
          </w:tcPr>
          <w:p>
            <w:r>
              <w:rPr>
                <w:b w:val="false"/>
                <w:bCs w:val="false"/>
                <w:sz w:val="19"/>
                <w:szCs w:val="19"/>
              </w:rPr>
              <w:t xml:space="preserve">−6.4%</w:t>
            </w:r>
          </w:p>
        </w:tc>
        <w:tc>
          <w:tcPr>
            <w:tcW w:type="dxa" w:w="1872"/>
            <w:tcMar>
              <w:top w:type="dxa" w:w="60"/>
              <w:left w:type="dxa" w:w="100"/>
              <w:bottom w:type="dxa" w:w="60"/>
              <w:right w:type="dxa" w:w="100"/>
            </w:tcMar>
          </w:tcPr>
          <w:p>
            <w:r>
              <w:rPr>
                <w:b w:val="false"/>
                <w:bCs w:val="false"/>
                <w:sz w:val="19"/>
                <w:szCs w:val="19"/>
              </w:rPr>
              <w:t xml:space="preserve">1.40</w:t>
            </w:r>
          </w:p>
        </w:tc>
      </w:tr>
    </w:tbl>
    <w:p>
      <w:pPr>
        <w:spacing w:after="120"/>
      </w:pPr>
    </w:p>
    <w:p>
      <w:pPr>
        <w:spacing w:after="140"/>
        <w:jc w:val="both"/>
      </w:pPr>
      <w:r>
        <w:t xml:space="preserve">The combination of both gates beat the criteria with a wide margin: the drawdown fell from −15.7% to </w:t>
      </w:r>
      <w:r>
        <w:rPr>
          <w:b/>
          <w:bCs/>
        </w:rPr>
        <w:t xml:space="preserve">−6.4%</w:t>
      </w:r>
      <w:r>
        <w:t xml:space="preserve"> (we required at least 3 points of improvement and got 9.3), while the return actually </w:t>
      </w:r>
      <w:r>
        <w:rPr>
          <w:b/>
          <w:bCs/>
        </w:rPr>
        <w:t xml:space="preserve">rose</w:t>
      </w:r>
      <w:r>
        <w:t xml:space="preserve">. And a bonus we had not even asked for: the final configuration is </w:t>
      </w:r>
      <w:r>
        <w:rPr>
          <w:b/>
          <w:bCs/>
        </w:rPr>
        <w:t xml:space="preserve">positive in all 8 years</w:t>
      </w:r>
      <w:r>
        <w:t xml:space="preserve"> — the only one of the ~35 tested variants.</w:t>
      </w:r>
    </w:p>
    <w:p>
      <w:pPr>
        <w:spacing w:after="4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Annual returns of the final configuration — all eight years positive.</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The "underwater" plot: how far below its peak the account ever was. Maximum −6.4%.</w:t>
      </w:r>
    </w:p>
    <w:p>
      <w:pPr>
        <w:spacing w:after="4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i/>
          <w:iCs/>
          <w:color w:val="555555"/>
          <w:sz w:val="18"/>
          <w:szCs w:val="18"/>
        </w:rPr>
        <w:t xml:space="preserve">Monte Carlo projection one year ahead: 500 scenarios, 87% positive, median +11%.</w:t>
      </w:r>
    </w:p>
    <w:p>
      <w:pPr>
        <w:spacing w:after="40" w:before="12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i/>
          <w:iCs/>
          <w:color w:val="555555"/>
          <w:sz w:val="18"/>
          <w:szCs w:val="18"/>
        </w:rPr>
        <w:t xml:space="preserve">The cloud of one-year scenarios: return × drawdown.</w:t>
      </w:r>
    </w:p>
    <w:p>
      <w:pPr>
        <w:spacing w:after="140"/>
        <w:jc w:val="both"/>
      </w:pPr>
      <w:r>
        <w:t xml:space="preserve">The decomposition by side: the long half +66%, the short half +25% — </w:t>
      </w:r>
      <w:r>
        <w:rPr>
          <w:b/>
          <w:bCs/>
        </w:rPr>
        <w:t xml:space="preserve">both earn</w:t>
      </w:r>
      <w:r>
        <w:t xml:space="preserve">, and the short helps exactly in the years where the long suffers (2018, 2020). Both sides stay.</w:t>
      </w:r>
    </w:p>
    <w:p>
      <w:pPr>
        <w:pStyle w:val="Heading2"/>
        <w:spacing w:after="120" w:before="280"/>
      </w:pPr>
      <w:r>
        <w:t xml:space="preserve">The final rules (complete, ready to trade)</w:t>
      </w:r>
    </w:p>
    <w:p>
      <w:pPr>
        <w:pStyle w:val="ListParagraph"/>
        <w:numPr>
          <w:ilvl w:val="0"/>
          <w:numId w:val="2"/>
        </w:numPr>
        <w:spacing w:after="80"/>
      </w:pPr>
      <w:r>
        <w:t xml:space="preserve">Market: NQ futures, a 1-minute chart, the main session 9:30–16:00 New York time.</w:t>
      </w:r>
    </w:p>
    <w:p>
      <w:pPr>
        <w:pStyle w:val="ListParagraph"/>
        <w:numPr>
          <w:ilvl w:val="0"/>
          <w:numId w:val="2"/>
        </w:numPr>
        <w:spacing w:after="80"/>
      </w:pPr>
      <w:r>
        <w:t xml:space="preserve">At 9:30 each morning compute two gates: (1) |overnight gap| must be at least the 25th percentile of the last 250 days; (2) yesterday's trendiness |close−open|/(high−low) must be below the 60th percentile. If either fails → NO TRADING today.</w:t>
      </w:r>
    </w:p>
    <w:p>
      <w:pPr>
        <w:pStyle w:val="ListParagraph"/>
        <w:numPr>
          <w:ilvl w:val="0"/>
          <w:numId w:val="2"/>
        </w:numPr>
        <w:spacing w:after="80"/>
      </w:pPr>
      <w:r>
        <w:t xml:space="preserve">From 9:31: when a 1-minute candle closes above VWAP +0.2% → long; below VWAP −0.2% → short. Enter at the open of the next candle. First signal of the day only.</w:t>
      </w:r>
    </w:p>
    <w:p>
      <w:pPr>
        <w:pStyle w:val="ListParagraph"/>
        <w:numPr>
          <w:ilvl w:val="0"/>
          <w:numId w:val="2"/>
        </w:numPr>
        <w:spacing w:after="80"/>
      </w:pPr>
      <w:r>
        <w:t xml:space="preserve">Exit: a candle closes beyond the opposite band, or 16:00 — whichever comes first. No take-profit, no reversing.</w:t>
      </w:r>
    </w:p>
    <w:p>
      <w:pPr>
        <w:spacing w:after="140"/>
        <w:jc w:val="both"/>
      </w:pPr>
      <w:r>
        <w:t xml:space="preserve">Live expectations — realistically: the historical numbers (Sharpe 1.40) are inflated after ~35 tests on the same data. A sober estimate: </w:t>
      </w:r>
      <w:r>
        <w:rPr>
          <w:b/>
          <w:bCs/>
        </w:rPr>
        <w:t xml:space="preserve">Sharpe around 1.0, CAGR in the high single digits, drawdowns in the single digits, ~110 trades per year.</w:t>
      </w:r>
    </w:p>
    <w:p>
      <w:pPr>
        <w:pStyle w:val="Heading1"/>
        <w:spacing w:after="160" w:before="400"/>
      </w:pPr>
      <w:r>
        <w:t xml:space="preserve">19. The TradingView indicator</w:t>
      </w:r>
    </w:p>
    <w:p>
      <w:pPr>
        <w:spacing w:after="140"/>
        <w:jc w:val="both"/>
      </w:pPr>
      <w:r>
        <w:t xml:space="preserve">We built the entire final configuration into a TradingView indicator (version v5, in Czech and English, stored in the repository): it draws the VWAP and the band, marks entries (BUY/SELL arrows) and exits (cross, diamond), colors the stop side of the band red and the trade direction green, keeps the trade history on the chart, and — most importantly — evaluates both gates every morning. A forbidden day is marked with a red </w:t>
      </w:r>
      <w:r>
        <w:rPr>
          <w:b/>
          <w:bCs/>
        </w:rPr>
        <w:t xml:space="preserve">NO TRADE DAY</w:t>
      </w:r>
      <w:r>
        <w:t xml:space="preserve"> banner (with the reason: gap/trend) and retroactively with a label at the 9:30 candle. It includes alerts for entries, exits, and no-trade days. The gate thresholds are computed on a rolling basis with no look-ahead, activating after 60 days of chart history.</w:t>
      </w:r>
    </w:p>
    <w:p>
      <w:pPr>
        <w:pStyle w:val="Heading1"/>
        <w:spacing w:after="160" w:before="400"/>
      </w:pPr>
      <w:r>
        <w:t xml:space="preserve">20. The OOS problem — why the final number cannot be "proven"</w:t>
      </w:r>
    </w:p>
    <w:p>
      <w:pPr>
        <w:spacing w:after="140"/>
        <w:jc w:val="both"/>
      </w:pPr>
      <w:r>
        <w:t xml:space="preserve">Here the document must admit its greatest weakness. The truly clean OOS data (hidden, never seen) was </w:t>
      </w:r>
      <w:r>
        <w:rPr>
          <w:b/>
          <w:bCs/>
        </w:rPr>
        <w:t xml:space="preserve">consumed</w:t>
      </w:r>
      <w:r>
        <w:t xml:space="preserve"> back in step R3 and in the robustness test — and once used, data is never clean again, because our subsequent decisions have "seen" it. The gates from phases A–E were developed strictly on IS data, but the definitive proof can only come from the future. The options: (1) </w:t>
      </w:r>
      <w:r>
        <w:rPr>
          <w:b/>
          <w:bCs/>
        </w:rPr>
        <w:t xml:space="preserve">paper trading</w:t>
      </w:r>
      <w:r>
        <w:t xml:space="preserve"> — trading "on paper" live, following the indicator; every new day is a clean test by definition; (2) fresh data the platform does not have (the last ~3 months), tested with a local script; (3) waiting for time to accumulate. We chose path 1 plus patience — and formally closed the improvement chapter so that itchy hands would not lead us into overfitting.</w:t>
      </w:r>
    </w:p>
    <w:p>
      <w:pPr>
        <w:pStyle w:val="Heading1"/>
        <w:spacing w:after="160" w:before="400"/>
      </w:pPr>
      <w:r>
        <w:t xml:space="preserve">21. Lessons of the whole journey (a summary for our future selves)</w:t>
      </w:r>
    </w:p>
    <w:p>
      <w:pPr>
        <w:pStyle w:val="ListParagraph"/>
        <w:numPr>
          <w:ilvl w:val="0"/>
          <w:numId w:val="2"/>
        </w:numPr>
        <w:spacing w:after="80"/>
      </w:pPr>
      <w:r>
        <w:rPr>
          <w:b/>
          <w:bCs/>
        </w:rPr>
        <w:t xml:space="preserve">Costs decide.</w:t>
      </w:r>
      <w:r>
        <w:t xml:space="preserve"> A strategy with 40% CAGR in a paper becomes −35% after realistic costs on another market. Always test with conservative costs.</w:t>
      </w:r>
    </w:p>
    <w:p>
      <w:pPr>
        <w:pStyle w:val="ListParagraph"/>
        <w:numPr>
          <w:ilvl w:val="0"/>
          <w:numId w:val="2"/>
        </w:numPr>
        <w:spacing w:after="80"/>
      </w:pPr>
      <w:r>
        <w:rPr>
          <w:b/>
          <w:bCs/>
        </w:rPr>
        <w:t xml:space="preserve">Win rate deceives.</w:t>
      </w:r>
      <w:r>
        <w:t xml:space="preserve"> An 80% win rate lost money; a 37% win rate earned. What matters is the product of frequency and the size of wins vs. losses.</w:t>
      </w:r>
    </w:p>
    <w:p>
      <w:pPr>
        <w:pStyle w:val="ListParagraph"/>
        <w:numPr>
          <w:ilvl w:val="0"/>
          <w:numId w:val="2"/>
        </w:numPr>
        <w:spacing w:after="80"/>
      </w:pPr>
      <w:r>
        <w:rPr>
          <w:b/>
          <w:bCs/>
        </w:rPr>
        <w:t xml:space="preserve">Let winners run.</w:t>
      </w:r>
      <w:r>
        <w:t xml:space="preserve"> Two independent tests (the TP grid, the TP variant) confirmed: cutting off the big wins kills trend-following.</w:t>
      </w:r>
    </w:p>
    <w:p>
      <w:pPr>
        <w:pStyle w:val="ListParagraph"/>
        <w:numPr>
          <w:ilvl w:val="0"/>
          <w:numId w:val="2"/>
        </w:numPr>
        <w:spacing w:after="80"/>
      </w:pPr>
      <w:r>
        <w:rPr>
          <w:b/>
          <w:bCs/>
        </w:rPr>
        <w:t xml:space="preserve">Plateau &gt; peak.</w:t>
      </w:r>
      <w:r>
        <w:t xml:space="preserve"> Trust parameters whose neighbors also work. Deploy the middle of the plateau, not the peak — the peak is partly luck.</w:t>
      </w:r>
    </w:p>
    <w:p>
      <w:pPr>
        <w:pStyle w:val="ListParagraph"/>
        <w:numPr>
          <w:ilvl w:val="0"/>
          <w:numId w:val="2"/>
        </w:numPr>
        <w:spacing w:after="80"/>
      </w:pPr>
      <w:r>
        <w:rPr>
          <w:b/>
          <w:bCs/>
        </w:rPr>
        <w:t xml:space="preserve">A strong signal ≠ a good rule.</w:t>
      </w:r>
      <w:r>
        <w:t xml:space="preserve"> The strongest statistical signal (fhr) failed as a filter; the inconspicuous gap won. Test everything.</w:t>
      </w:r>
    </w:p>
    <w:p>
      <w:pPr>
        <w:pStyle w:val="ListParagraph"/>
        <w:numPr>
          <w:ilvl w:val="0"/>
          <w:numId w:val="2"/>
        </w:numPr>
        <w:spacing w:after="80"/>
      </w:pPr>
      <w:r>
        <w:rPr>
          <w:b/>
          <w:bCs/>
        </w:rPr>
        <w:t xml:space="preserve">A short OOS proves nothing.</w:t>
      </w:r>
      <w:r>
        <w:t xml:space="preserve"> The bootstrap showed a half-year window is a coin flip. Draw no strong conclusions from it in either direction.</w:t>
      </w:r>
    </w:p>
    <w:p>
      <w:pPr>
        <w:pStyle w:val="ListParagraph"/>
        <w:numPr>
          <w:ilvl w:val="0"/>
          <w:numId w:val="2"/>
        </w:numPr>
        <w:spacing w:after="80"/>
      </w:pPr>
      <w:r>
        <w:rPr>
          <w:b/>
          <w:bCs/>
        </w:rPr>
        <w:t xml:space="preserve">Pre-register your criteria.</w:t>
      </w:r>
      <w:r>
        <w:t xml:space="preserve"> Writing down "what will count as success" BEFORE the test is the only protection against self-deception.</w:t>
      </w:r>
    </w:p>
    <w:p>
      <w:pPr>
        <w:pStyle w:val="ListParagraph"/>
        <w:numPr>
          <w:ilvl w:val="0"/>
          <w:numId w:val="2"/>
        </w:numPr>
        <w:spacing w:after="80"/>
      </w:pPr>
      <w:r>
        <w:rPr>
          <w:b/>
          <w:bCs/>
        </w:rPr>
        <w:t xml:space="preserve">Close your chapters.</w:t>
      </w:r>
      <w:r>
        <w:t xml:space="preserve"> Every additional test on the same data raises the risk of overfitting. At some point you must say enough and let reality decide.</w:t>
      </w:r>
    </w:p>
    <w:p>
      <w:pPr>
        <w:pStyle w:val="Heading1"/>
        <w:spacing w:after="160" w:before="400"/>
      </w:pPr>
      <w:r>
        <w:t xml:space="preserve">Appendix: overview of the QuantConnect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8EEF4" w:val="clear"/>
            <w:tcMar>
              <w:top w:type="dxa" w:w="60"/>
              <w:left w:type="dxa" w:w="100"/>
              <w:bottom w:type="dxa" w:w="60"/>
              <w:right w:type="dxa" w:w="100"/>
            </w:tcMar>
          </w:tcPr>
          <w:p>
            <w:r>
              <w:rPr>
                <w:b/>
                <w:bCs/>
                <w:sz w:val="19"/>
                <w:szCs w:val="19"/>
              </w:rPr>
              <w:t xml:space="preserve">project</w:t>
            </w:r>
          </w:p>
        </w:tc>
        <w:tc>
          <w:tcPr>
            <w:tcW w:type="dxa" w:w="4680"/>
            <w:shd w:fill="E8EEF4" w:val="clear"/>
            <w:tcMar>
              <w:top w:type="dxa" w:w="60"/>
              <w:left w:type="dxa" w:w="100"/>
              <w:bottom w:type="dxa" w:w="60"/>
              <w:right w:type="dxa" w:w="100"/>
            </w:tcMar>
          </w:tcPr>
          <w:p>
            <w:r>
              <w:rPr>
                <w:b/>
                <w:bCs/>
                <w:sz w:val="19"/>
                <w:szCs w:val="19"/>
              </w:rPr>
              <w:t xml:space="preserve">purpose</w:t>
            </w:r>
          </w:p>
        </w:tc>
      </w:tr>
      <w:tr>
        <w:tc>
          <w:tcPr>
            <w:tcW w:type="dxa" w:w="4680"/>
            <w:tcMar>
              <w:top w:type="dxa" w:w="60"/>
              <w:left w:type="dxa" w:w="100"/>
              <w:bottom w:type="dxa" w:w="60"/>
              <w:right w:type="dxa" w:w="100"/>
            </w:tcMar>
          </w:tcPr>
          <w:p>
            <w:r>
              <w:rPr>
                <w:b w:val="false"/>
                <w:bCs w:val="false"/>
                <w:sz w:val="19"/>
                <w:szCs w:val="19"/>
              </w:rPr>
              <w:t xml:space="preserve">vwap_trend (34170904)</w:t>
            </w:r>
          </w:p>
        </w:tc>
        <w:tc>
          <w:tcPr>
            <w:tcW w:type="dxa" w:w="4680"/>
            <w:tcMar>
              <w:top w:type="dxa" w:w="60"/>
              <w:left w:type="dxa" w:w="100"/>
              <w:bottom w:type="dxa" w:w="60"/>
              <w:right w:type="dxa" w:w="100"/>
            </w:tcMar>
          </w:tcPr>
          <w:p>
            <w:r>
              <w:rPr>
                <w:b w:val="false"/>
                <w:bCs w:val="false"/>
                <w:sz w:val="19"/>
                <w:szCs w:val="19"/>
              </w:rPr>
              <w:t xml:space="preserve">R1 replication, R2 translation, TP grid</w:t>
            </w:r>
          </w:p>
        </w:tc>
      </w:tr>
      <w:tr>
        <w:tc>
          <w:tcPr>
            <w:tcW w:type="dxa" w:w="4680"/>
            <w:tcMar>
              <w:top w:type="dxa" w:w="60"/>
              <w:left w:type="dxa" w:w="100"/>
              <w:bottom w:type="dxa" w:w="60"/>
              <w:right w:type="dxa" w:w="100"/>
            </w:tcMar>
          </w:tcPr>
          <w:p>
            <w:r>
              <w:rPr>
                <w:b w:val="false"/>
                <w:bCs w:val="false"/>
                <w:sz w:val="19"/>
                <w:szCs w:val="19"/>
              </w:rPr>
              <w:t xml:space="preserve">vwap_trend_1td (34240773)</w:t>
            </w:r>
          </w:p>
        </w:tc>
        <w:tc>
          <w:tcPr>
            <w:tcW w:type="dxa" w:w="4680"/>
            <w:tcMar>
              <w:top w:type="dxa" w:w="60"/>
              <w:left w:type="dxa" w:w="100"/>
              <w:bottom w:type="dxa" w:w="60"/>
              <w:right w:type="dxa" w:w="100"/>
            </w:tcMar>
          </w:tcPr>
          <w:p>
            <w:r>
              <w:rPr>
                <w:b w:val="false"/>
                <w:bCs w:val="false"/>
                <w:sz w:val="19"/>
                <w:szCs w:val="19"/>
              </w:rPr>
              <w:t xml:space="preserve">one-trade-per-day variant + TP comparison</w:t>
            </w:r>
          </w:p>
        </w:tc>
      </w:tr>
      <w:tr>
        <w:tc>
          <w:tcPr>
            <w:tcW w:type="dxa" w:w="4680"/>
            <w:tcMar>
              <w:top w:type="dxa" w:w="60"/>
              <w:left w:type="dxa" w:w="100"/>
              <w:bottom w:type="dxa" w:w="60"/>
              <w:right w:type="dxa" w:w="100"/>
            </w:tcMar>
          </w:tcPr>
          <w:p>
            <w:r>
              <w:rPr>
                <w:b w:val="false"/>
                <w:bCs w:val="false"/>
                <w:sz w:val="19"/>
                <w:szCs w:val="19"/>
              </w:rPr>
              <w:t xml:space="preserve">vwap_trend_robust (34242424)</w:t>
            </w:r>
          </w:p>
        </w:tc>
        <w:tc>
          <w:tcPr>
            <w:tcW w:type="dxa" w:w="4680"/>
            <w:tcMar>
              <w:top w:type="dxa" w:w="60"/>
              <w:left w:type="dxa" w:w="100"/>
              <w:bottom w:type="dxa" w:w="60"/>
              <w:right w:type="dxa" w:w="100"/>
            </w:tcMar>
          </w:tcPr>
          <w:p>
            <w:r>
              <w:rPr>
                <w:b w:val="false"/>
                <w:bCs w:val="false"/>
                <w:sz w:val="19"/>
                <w:szCs w:val="19"/>
              </w:rPr>
              <w:t xml:space="preserve">robustness: fan, cloud, yearly heatmap</w:t>
            </w:r>
          </w:p>
        </w:tc>
      </w:tr>
      <w:tr>
        <w:tc>
          <w:tcPr>
            <w:tcW w:type="dxa" w:w="4680"/>
            <w:tcMar>
              <w:top w:type="dxa" w:w="60"/>
              <w:left w:type="dxa" w:w="100"/>
              <w:bottom w:type="dxa" w:w="60"/>
              <w:right w:type="dxa" w:w="100"/>
            </w:tcMar>
          </w:tcPr>
          <w:p>
            <w:r>
              <w:rPr>
                <w:b w:val="false"/>
                <w:bCs w:val="false"/>
                <w:sz w:val="19"/>
                <w:szCs w:val="19"/>
              </w:rPr>
              <w:t xml:space="preserve">vwap_trend_grid2d (34243168)</w:t>
            </w:r>
          </w:p>
        </w:tc>
        <w:tc>
          <w:tcPr>
            <w:tcW w:type="dxa" w:w="4680"/>
            <w:tcMar>
              <w:top w:type="dxa" w:w="60"/>
              <w:left w:type="dxa" w:w="100"/>
              <w:bottom w:type="dxa" w:w="60"/>
              <w:right w:type="dxa" w:w="100"/>
            </w:tcMar>
          </w:tcPr>
          <w:p>
            <w:r>
              <w:rPr>
                <w:b w:val="false"/>
                <w:bCs w:val="false"/>
                <w:sz w:val="19"/>
                <w:szCs w:val="19"/>
              </w:rPr>
              <w:t xml:space="preserve">2D map band × TP (96 combinations)</w:t>
            </w:r>
          </w:p>
        </w:tc>
      </w:tr>
      <w:tr>
        <w:tc>
          <w:tcPr>
            <w:tcW w:type="dxa" w:w="4680"/>
            <w:tcMar>
              <w:top w:type="dxa" w:w="60"/>
              <w:left w:type="dxa" w:w="100"/>
              <w:bottom w:type="dxa" w:w="60"/>
              <w:right w:type="dxa" w:w="100"/>
            </w:tcMar>
          </w:tcPr>
          <w:p>
            <w:r>
              <w:rPr>
                <w:b w:val="false"/>
                <w:bCs w:val="false"/>
                <w:sz w:val="19"/>
                <w:szCs w:val="19"/>
              </w:rPr>
              <w:t xml:space="preserve">vwap_trend_improve (34266528)</w:t>
            </w:r>
          </w:p>
        </w:tc>
        <w:tc>
          <w:tcPr>
            <w:tcW w:type="dxa" w:w="4680"/>
            <w:tcMar>
              <w:top w:type="dxa" w:w="60"/>
              <w:left w:type="dxa" w:w="100"/>
              <w:bottom w:type="dxa" w:w="60"/>
              <w:right w:type="dxa" w:w="100"/>
            </w:tcMar>
          </w:tcPr>
          <w:p>
            <w:r>
              <w:rPr>
                <w:b w:val="false"/>
                <w:bCs w:val="false"/>
                <w:sz w:val="19"/>
                <w:szCs w:val="19"/>
              </w:rPr>
              <w:t xml:space="preserve">Phase A: 12-variant grid + conditions</w:t>
            </w:r>
          </w:p>
        </w:tc>
      </w:tr>
      <w:tr>
        <w:tc>
          <w:tcPr>
            <w:tcW w:type="dxa" w:w="4680"/>
            <w:tcMar>
              <w:top w:type="dxa" w:w="60"/>
              <w:left w:type="dxa" w:w="100"/>
              <w:bottom w:type="dxa" w:w="60"/>
              <w:right w:type="dxa" w:w="100"/>
            </w:tcMar>
          </w:tcPr>
          <w:p>
            <w:r>
              <w:rPr>
                <w:b w:val="false"/>
                <w:bCs w:val="false"/>
                <w:sz w:val="19"/>
                <w:szCs w:val="19"/>
              </w:rPr>
              <w:t xml:space="preserve">vwap_trend_improveB (34266984)</w:t>
            </w:r>
          </w:p>
        </w:tc>
        <w:tc>
          <w:tcPr>
            <w:tcW w:type="dxa" w:w="4680"/>
            <w:tcMar>
              <w:top w:type="dxa" w:w="60"/>
              <w:left w:type="dxa" w:w="100"/>
              <w:bottom w:type="dxa" w:w="60"/>
              <w:right w:type="dxa" w:w="100"/>
            </w:tcMar>
          </w:tcPr>
          <w:p>
            <w:r>
              <w:rPr>
                <w:b w:val="false"/>
                <w:bCs w:val="false"/>
                <w:sz w:val="19"/>
                <w:szCs w:val="19"/>
              </w:rPr>
              <w:t xml:space="preserve">Phase B: fhr/gap/pt gates</w:t>
            </w:r>
          </w:p>
        </w:tc>
      </w:tr>
      <w:tr>
        <w:tc>
          <w:tcPr>
            <w:tcW w:type="dxa" w:w="4680"/>
            <w:tcMar>
              <w:top w:type="dxa" w:w="60"/>
              <w:left w:type="dxa" w:w="100"/>
              <w:bottom w:type="dxa" w:w="60"/>
              <w:right w:type="dxa" w:w="100"/>
            </w:tcMar>
          </w:tcPr>
          <w:p>
            <w:r>
              <w:rPr>
                <w:b w:val="false"/>
                <w:bCs w:val="false"/>
                <w:sz w:val="19"/>
                <w:szCs w:val="19"/>
              </w:rPr>
              <w:t xml:space="preserve">vwap_trend_improveC (34267097)</w:t>
            </w:r>
          </w:p>
        </w:tc>
        <w:tc>
          <w:tcPr>
            <w:tcW w:type="dxa" w:w="4680"/>
            <w:tcMar>
              <w:top w:type="dxa" w:w="60"/>
              <w:left w:type="dxa" w:w="100"/>
              <w:bottom w:type="dxa" w:w="60"/>
              <w:right w:type="dxa" w:w="100"/>
            </w:tcMar>
          </w:tcPr>
          <w:p>
            <w:r>
              <w:rPr>
                <w:b w:val="false"/>
                <w:bCs w:val="false"/>
                <w:sz w:val="19"/>
                <w:szCs w:val="19"/>
              </w:rPr>
              <w:t xml:space="preserve">Phase C: gap-gate threshold sweep</w:t>
            </w:r>
          </w:p>
        </w:tc>
      </w:tr>
      <w:tr>
        <w:tc>
          <w:tcPr>
            <w:tcW w:type="dxa" w:w="4680"/>
            <w:tcMar>
              <w:top w:type="dxa" w:w="60"/>
              <w:left w:type="dxa" w:w="100"/>
              <w:bottom w:type="dxa" w:w="60"/>
              <w:right w:type="dxa" w:w="100"/>
            </w:tcMar>
          </w:tcPr>
          <w:p>
            <w:r>
              <w:rPr>
                <w:b w:val="false"/>
                <w:bCs w:val="false"/>
                <w:sz w:val="19"/>
                <w:szCs w:val="19"/>
              </w:rPr>
              <w:t xml:space="preserve">vwap_trend_improveD (34267284)</w:t>
            </w:r>
          </w:p>
        </w:tc>
        <w:tc>
          <w:tcPr>
            <w:tcW w:type="dxa" w:w="4680"/>
            <w:tcMar>
              <w:top w:type="dxa" w:w="60"/>
              <w:left w:type="dxa" w:w="100"/>
              <w:bottom w:type="dxa" w:w="60"/>
              <w:right w:type="dxa" w:w="100"/>
            </w:tcMar>
          </w:tcPr>
          <w:p>
            <w:r>
              <w:rPr>
                <w:b w:val="false"/>
                <w:bCs w:val="false"/>
                <w:sz w:val="19"/>
                <w:szCs w:val="19"/>
              </w:rPr>
              <w:t xml:space="preserve">Phase D: entry independence</w:t>
            </w:r>
          </w:p>
        </w:tc>
      </w:tr>
      <w:tr>
        <w:tc>
          <w:tcPr>
            <w:tcW w:type="dxa" w:w="4680"/>
            <w:tcMar>
              <w:top w:type="dxa" w:w="60"/>
              <w:left w:type="dxa" w:w="100"/>
              <w:bottom w:type="dxa" w:w="60"/>
              <w:right w:type="dxa" w:w="100"/>
            </w:tcMar>
          </w:tcPr>
          <w:p>
            <w:r>
              <w:rPr>
                <w:b w:val="false"/>
                <w:bCs w:val="false"/>
                <w:sz w:val="19"/>
                <w:szCs w:val="19"/>
              </w:rPr>
              <w:t xml:space="preserve">vwap_trend_improveE (34267822)</w:t>
            </w:r>
          </w:p>
        </w:tc>
        <w:tc>
          <w:tcPr>
            <w:tcW w:type="dxa" w:w="4680"/>
            <w:tcMar>
              <w:top w:type="dxa" w:w="60"/>
              <w:left w:type="dxa" w:w="100"/>
              <w:bottom w:type="dxa" w:w="60"/>
              <w:right w:type="dxa" w:w="100"/>
            </w:tcMar>
          </w:tcPr>
          <w:p>
            <w:r>
              <w:rPr>
                <w:b w:val="false"/>
                <w:bCs w:val="false"/>
                <w:sz w:val="19"/>
                <w:szCs w:val="19"/>
              </w:rPr>
              <w:t xml:space="preserve">Phase E: closing run, final configuration</w:t>
            </w:r>
          </w:p>
        </w:tc>
      </w:tr>
    </w:tbl>
    <w:p>
      <w:pPr>
        <w:spacing w:after="120"/>
      </w:pPr>
    </w:p>
    <w:p>
      <w:pPr>
        <w:spacing w:after="140"/>
        <w:jc w:val="both"/>
      </w:pPr>
      <w:r>
        <w:t xml:space="preserve">All the code, the playbooks (detailed technical write-ups), the figures, and this document are stored in the Strong-Chicken-Journal git repository. The VWAP Trend research chapter is closed; paper trading continues.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b/>
      <w:bCs/>
      <w:color w:val="1F3864"/>
      <w:sz w:val="32"/>
      <w:szCs w:val="32"/>
    </w:rPr>
  </w:style>
  <w:style w:type="paragraph" w:styleId="Heading2">
    <w:name w:val="Heading 2"/>
    <w:basedOn w:val="Normal"/>
    <w:next w:val="Normal"/>
    <w:qFormat/>
    <w:pPr>
      <w:spacing w:after="120" w:before="280"/>
    </w:pPr>
    <w:rPr>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c85850e029df2ca6d2b033dcc7c2f5032aa6c9.png"/><Relationship Id="rId8" Type="http://schemas.openxmlformats.org/officeDocument/2006/relationships/image" Target="media/f42a2e4bebe695510cca0fd79be841fd65938502.png"/><Relationship Id="rId9" Type="http://schemas.openxmlformats.org/officeDocument/2006/relationships/image" Target="media/b8e9ebfb6a6bd9c8e4a76434eddbffb1143afa11.png"/><Relationship Id="rId10" Type="http://schemas.openxmlformats.org/officeDocument/2006/relationships/image" Target="media/21484eba37a3c05f8772f83ac8fa965cef139eb2.png"/><Relationship Id="rId11" Type="http://schemas.openxmlformats.org/officeDocument/2006/relationships/image" Target="media/c423afb7b92281069f776e7fe7a6fcf17617d42b.png"/><Relationship Id="rId12" Type="http://schemas.openxmlformats.org/officeDocument/2006/relationships/image" Target="media/30e6d9ac01db8b8a1f523a83110caf6ec99c47a7.png"/><Relationship Id="rId13" Type="http://schemas.openxmlformats.org/officeDocument/2006/relationships/image" Target="media/1cbd461f49cdb1f4509d0ef64762e893fa54494a.png"/><Relationship Id="rId14" Type="http://schemas.openxmlformats.org/officeDocument/2006/relationships/image" Target="media/9cd9ee589273e6d5e4409804268f059a2dc9299f.png"/><Relationship Id="rId15" Type="http://schemas.openxmlformats.org/officeDocument/2006/relationships/image" Target="media/c297d0d5cdd0666401bf2ba5906b4851e8bf0e9c.png"/><Relationship Id="rId16" Type="http://schemas.openxmlformats.org/officeDocument/2006/relationships/image" Target="media/e45d3992ebd2d5ff28364517270ebb05370c0e7a.png"/><Relationship Id="rId17" Type="http://schemas.openxmlformats.org/officeDocument/2006/relationships/image" Target="media/029ca48acc251738f2a7403942a849f3a368d022.png"/><Relationship Id="rId18" Type="http://schemas.openxmlformats.org/officeDocument/2006/relationships/image" Target="media/097c304f1b17d3aa7145e8a4931675c684325e07.png"/><Relationship Id="rId19" Type="http://schemas.openxmlformats.org/officeDocument/2006/relationships/image" Target="media/68debd8a3effef81b5a6e82d9275890966bae7c6.png"/><Relationship Id="rId20" Type="http://schemas.openxmlformats.org/officeDocument/2006/relationships/image" Target="media/b7d7c9cd9593a3dcedec54af11c2e6c792b59bec.png"/><Relationship Id="rId21" Type="http://schemas.openxmlformats.org/officeDocument/2006/relationships/image" Target="media/b3ae213dc59c7cc689ad6495d9768f42037a8a7b.png"/><Relationship Id="rId22" Type="http://schemas.openxmlformats.org/officeDocument/2006/relationships/image" Target="media/de65363a54be3a76c2fd9c15769615bdc1046596.png"/><Relationship Id="rId23" Type="http://schemas.openxmlformats.org/officeDocument/2006/relationships/image" Target="media/9df357f940f1ac3d68146aeb0547ee9c7a310bd3.png"/><Relationship Id="rId24" Type="http://schemas.openxmlformats.org/officeDocument/2006/relationships/image" Target="media/51830b50d2dc38f87cce4177269f735dfdd2b07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2026-07-18T19:27:29.896Z</dcterms:created>
  <dcterms:modified xsi:type="dcterms:W3CDTF">2026-07-18T19:27:29.897Z</dcterms:modified>
</cp:coreProperties>
</file>

<file path=docProps/custom.xml><?xml version="1.0" encoding="utf-8"?>
<Properties xmlns="http://schemas.openxmlformats.org/officeDocument/2006/custom-properties" xmlns:vt="http://schemas.openxmlformats.org/officeDocument/2006/docPropsVTypes"/>
</file>