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400"/>
      </w:pPr>
      <w:r>
        <w:t xml:space="preserve">2  Data a metodologie</w:t>
      </w:r>
    </w:p>
    <w:p>
      <w:pPr>
        <w:pStyle w:val="Heading2"/>
        <w:spacing w:after="120" w:before="280"/>
      </w:pPr>
      <w:r>
        <w:t xml:space="preserve">2.1  Typ výzkumu a celkový postup</w:t>
      </w:r>
    </w:p>
    <w:p>
      <w:pPr>
        <w:spacing w:after="140"/>
        <w:jc w:val="both"/>
      </w:pPr>
      <w:r>
        <w:t xml:space="preserve">Práce je pojatá jako kvantitativní replikační a simulační studie postavená na backtestingu. Postupoval jsem v pěti krocích, které na sebe navazují. Nejdřív jsem nezávisle naprogramoval pravidla původní strategie a ověřil je na stejné třídě nástrojů jako autoři (replikace). Poté jsem strategii přenesl na další instrumenty a započítal realistické transakční náklady. Ve třetím kroku jsem ji upravil do podoby vhodné pro futures kontrakt NQ. Ve čtvrtém jsem provedl testy robustnosti a v posledním jednorázovou validaci na datech, která jsem během vývoje vůbec neviděl. Toto pořadí není náhodné — každý krok je přísnější než předchozí a jeho smyslem je odhalit, jestli výhoda strategie přežije, i když se podmínky zpřísní.</w:t>
      </w:r>
    </w:p>
    <w:p>
      <w:pPr>
        <w:pStyle w:val="Heading2"/>
        <w:spacing w:after="120" w:before="280"/>
      </w:pPr>
      <w:r>
        <w:t xml:space="preserve">2.2  Datové zdroje a nástroje</w:t>
      </w:r>
    </w:p>
    <w:p>
      <w:pPr>
        <w:spacing w:after="140"/>
        <w:jc w:val="both"/>
      </w:pPr>
      <w:r>
        <w:t xml:space="preserve">Veškerá historická data i výpočetní zázemí pocházejí z platformy QuantConnect, konkrétně z jejího enginu LEAN (18). Pracoval jsem s minutovými daty, protože strategie je vnitrodenní a hrubší rozlišení by pravidla nedokázalo věrně napodobit. Vlastní statistické analýzy a grafy jsem zpracoval v jazyce Python (knihovny pandas, NumPy, SciPy a Matplotlib). Výsledný indikátor pro živé sledování trhu jsem naprogramoval v jazyce Pine Script na platformě TradingView (19).</w:t>
      </w:r>
    </w:p>
    <w:p>
      <w:pPr>
        <w:spacing w:after="140"/>
        <w:jc w:val="both"/>
      </w:pPr>
      <w:r>
        <w:t xml:space="preserve">Při programování jsem využil jazykový model umělé inteligence (Claude, Opus 4.8, Anthropic) jako pomůcku pro generování a ladění programového kódu v jazycích Python a Pine Script a jako výpočetního asistenta při zpracování dat. Návrh výzkumu, volbu strategie a jednotlivých testů, interpretaci výsledků i text práce jsem zpracoval samostatně; rozsah využití modelu uvádím transparentně zde a u jednotlivých obrázků, jejichž kód takto vznikl.</w:t>
      </w:r>
    </w:p>
    <w:p>
      <w:pPr>
        <w:pStyle w:val="Heading2"/>
        <w:spacing w:after="120" w:before="280"/>
      </w:pPr>
      <w:r>
        <w:t xml:space="preserve">2.3  Instrumenty a časové období</w:t>
      </w:r>
    </w:p>
    <w:p>
      <w:pPr>
        <w:spacing w:after="140"/>
        <w:jc w:val="both"/>
      </w:pPr>
      <w:r>
        <w:t xml:space="preserve">Replikaci jsem provedl na fondech QQQ a jeho trojnásobně pákové variantě TQQQ, tedy na stejné třídě nástrojů jako původní studie. Pro přenos strategie jsem přidal ETF SPY a futures kontrakty ES (E-mini S&amp;P 500) a NQ (E-mini Nasdaq-100). Těžištěm práce se nakonec stal kontrakt NQ.</w:t>
      </w:r>
    </w:p>
    <w:p>
      <w:pPr>
        <w:spacing w:after="140"/>
        <w:jc w:val="both"/>
      </w:pPr>
      <w:r>
        <w:t xml:space="preserve">Vývojové období (in-sample) tvoří roky 2018 až 2025. Posledních několik měsíců datové řady, počínaje říjnem 2025, jsem hned na začátku fyzicky oddělil do samostatného souboru a během celého vývoje se jich nedotkl; slouží výhradně k závěrečné jednorázové validaci (out-of-sample), o níž pojednává podkapitola 2.7.</w:t>
      </w:r>
    </w:p>
    <w:p>
      <w:pPr>
        <w:pStyle w:val="Heading2"/>
        <w:spacing w:after="120" w:before="280"/>
      </w:pPr>
      <w:r>
        <w:t xml:space="preserve">2.4  Konstrukce kontinuálního futures kontraktu</w:t>
      </w:r>
    </w:p>
    <w:p>
      <w:pPr>
        <w:spacing w:after="140"/>
        <w:jc w:val="both"/>
      </w:pPr>
      <w:r>
        <w:t xml:space="preserve">Futures kontrakty mají omezenou životnost a pravidelně expirují, takže souvislou historii je nutné sestavit navázáním jednotlivých expirací za sebe. Přechod z jednoho kontraktu na následující (roll) jsem řídil podle otevřeného zájmu (open interest), tedy přecházel jsem na nový kontrakt ve chvíli, kdy převzal většinu obchodní aktivity. Aby na spojích nevznikaly umělé cenové skoky, které by zkreslily výnosy, zarovnal jsem historii zpětně poměrovou metodou (backward ratio adjustment). Tím zůstávají procentní změny cen věrné, což je pro výpočet výnosů podstatnější než absolutní cenová hladina.</w:t>
      </w:r>
    </w:p>
    <w:p>
      <w:pPr>
        <w:pStyle w:val="Heading2"/>
        <w:spacing w:after="120" w:before="280"/>
      </w:pPr>
      <w:r>
        <w:t xml:space="preserve">2.5  Pravidla obchodní strategie</w:t>
      </w:r>
    </w:p>
    <w:p>
      <w:pPr>
        <w:spacing w:after="140"/>
        <w:jc w:val="both"/>
      </w:pPr>
      <w:r>
        <w:t xml:space="preserve">Jádrem strategie je poloha ceny vůči session VWAP, který se počítá zvlášť pro každou obchodní seanci a na jejím začátku se resetuje. Kolem VWAP jsem vymezil hysterezní pásmo o šířce 20 bazických bodů. Vstup do dlouhé pozice nastává, když se cena udrží nad horním okrajem pásma, do krátké pozice, když klesne pod jeho spodní okraj. Samotné pásmo brání překlápění pozice sem a tam při drobném kmitání ceny kolem průměru.</w:t>
      </w:r>
    </w:p>
    <w:p>
      <w:pPr>
        <w:spacing w:after="140"/>
        <w:jc w:val="both"/>
      </w:pPr>
      <w:r>
        <w:t xml:space="preserve">Pravidla jsem oproti původní studii zpřísnil do podoby „jeden obchod denně“: strategie reaguje pouze na první platný signál v seanci a další ten den ignoruje. Pozici uzavírám při dotyku opačného okraje pásma, nejpozději však na konci obchodního dne v 16:00 (žádná pozice nezůstává přes noc). Pevný ziskový cíl strategie nepoužívá; o ukončení obchodu rozhoduje výhradně opačný signál nebo konec seance.</w:t>
      </w:r>
    </w:p>
    <w:p>
      <w:pPr>
        <w:spacing w:after="140"/>
        <w:jc w:val="both"/>
      </w:pPr>
      <w:r>
        <w:t xml:space="preserve">Vstup jsem navíc podmínil dvěma filtry, které jsem odvodil během vývoje (podrobně v kapitole o úpravách strategie):</w:t>
      </w:r>
    </w:p>
    <w:p>
      <w:pPr>
        <w:pStyle w:val="ListParagraph"/>
        <w:numPr>
          <w:ilvl w:val="0"/>
          <w:numId w:val="2"/>
        </w:numPr>
        <w:spacing w:after="80"/>
      </w:pPr>
      <w:r>
        <w:rPr>
          <w:b/>
          <w:bCs/>
        </w:rPr>
        <w:t xml:space="preserve">Filtr mezery (gap):</w:t>
      </w:r>
      <w:r>
        <w:t xml:space="preserve"> obchoduji jen ve dnech, kdy je absolutní překlenovací mezera mezi včerejším zavřením a dnešním otevřením dostatečně velká — konkrétně kdy překročí 25. percentil mezer z posledních 250 dní. Klidné dny bez výraznější mezery strategie vynechává.</w:t>
      </w:r>
    </w:p>
    <w:p>
      <w:pPr>
        <w:pStyle w:val="ListParagraph"/>
        <w:numPr>
          <w:ilvl w:val="0"/>
          <w:numId w:val="2"/>
        </w:numPr>
        <w:spacing w:after="80"/>
      </w:pPr>
      <w:r>
        <w:rPr>
          <w:b/>
          <w:bCs/>
        </w:rPr>
        <w:t xml:space="preserve">Filtr trendu:</w:t>
      </w:r>
      <w:r>
        <w:t xml:space="preserve"> vynechávám den následující po výrazně trendovém dni. Trendovost včerejška měřím podílem |zavření − otevření| / (maximum − minimum); pokud tento podíl překročil 60. percentil z posledních 250 dní, dnešní den neobchoduji.</w:t>
      </w:r>
    </w:p>
    <w:p>
      <w:pPr>
        <w:spacing w:after="140"/>
        <w:jc w:val="both"/>
      </w:pPr>
      <w:r>
        <w:t xml:space="preserve">Oba filtry pracují s klouzavými percentily z posledních 250 obchodních dní, takže se průběžně přizpůsobují aktuálnímu chování trhu a nevyužívají žádnou informaci z budoucnosti.</w:t>
      </w:r>
    </w:p>
    <w:p>
      <w:pPr>
        <w:pStyle w:val="Heading2"/>
        <w:spacing w:after="120" w:before="280"/>
      </w:pPr>
      <w:r>
        <w:t xml:space="preserve">2.6  Model transakčních nákladů a plnění</w:t>
      </w:r>
    </w:p>
    <w:p>
      <w:pPr>
        <w:spacing w:after="140"/>
        <w:jc w:val="both"/>
      </w:pPr>
      <w:r>
        <w:t xml:space="preserve">Protože podceněné náklady dokážou z výnosné strategie udělat ztrátovou, počítal jsem se dvěma scénáři. Optimistický předpokládá náklad 0,4 bazického bodu na kompletní obchod (round-turn, tj. vstup i výstup dohromady), konzervativní 1,2 bazického bodu; obě čísla zahrnují jak poplatek, tak skluz v plnění (rozdíl mezi očekávanou a skutečnou cenou). Uvádět výsledky ve dvou variantách považuji za poctivější než spoléhat na jediný odhad, protože rozpětí nákladů rovnou ukazuje, jak citlivá strategie na tomto předpokladu je. Objednávky se v simulaci plní na otevírací ceně následující minutové svíčky (fill next open), aby se signál a jeho provedení nepřekrývaly ve stejném okamžiku. Velikost pozice odpovídá jednonásobku hodnoty účtu.</w:t>
      </w:r>
    </w:p>
    <w:p>
      <w:pPr>
        <w:pStyle w:val="Heading2"/>
        <w:spacing w:after="120" w:before="280"/>
      </w:pPr>
      <w:r>
        <w:t xml:space="preserve">2.7  Rozdělení dat (in-sample / out-of-sample)</w:t>
      </w:r>
    </w:p>
    <w:p>
      <w:pPr>
        <w:spacing w:after="140"/>
        <w:jc w:val="both"/>
      </w:pPr>
      <w:r>
        <w:t xml:space="preserve">Základní obranou proti přeučení je oddělit data, na kterých se strategie vyvíjí, od dat, na kterých se ověřuje (11). Celý vývoj, ladění filtrů i volbu parametrů jsem prováděl výhradně na vývojovém období 2018–2025. Ověřovací období od října 2025 jsem držel oddělené a test na něm provedl až úplně nakonec, a to jen jednou. Opakované testování na téže ověřovací množině by ji totiž postupně proměnilo v další vývojová data a připravilo o vypovídací hodnotu (17). Právě jednorázovost tohoto testu je důvod, proč jsem ověřovací období od začátku uložil zvlášť a během průzkumné analýzy je „neviděl“.</w:t>
      </w:r>
    </w:p>
    <w:p>
      <w:pPr>
        <w:pStyle w:val="Heading2"/>
        <w:spacing w:after="120" w:before="280"/>
      </w:pPr>
      <w:r>
        <w:t xml:space="preserve">2.8  Hodnoticí ukazatele a testy robustnosti</w:t>
      </w:r>
    </w:p>
    <w:p>
      <w:pPr>
        <w:spacing w:after="140"/>
        <w:jc w:val="both"/>
      </w:pPr>
      <w:r>
        <w:t xml:space="preserve">Výkonnost strategie posuzuji čtyřmi hlavními ukazateli: složeným ročním výnosem (CAGR), poměrem výnosu k riziku (Sharpe ratio) (13), maximálním poklesem hodnoty účtu (maximum drawdown) a počtem obchodů spolu s úspěšností. U úspěšnosti neuvádím holé procento, ale doplňuji je počtem obchodů a intervalem spolehlivosti, aby bylo zřejmé, nakolik je údaj podložený.</w:t>
      </w:r>
    </w:p>
    <w:p>
      <w:pPr>
        <w:spacing w:after="140"/>
        <w:jc w:val="both"/>
      </w:pPr>
      <w:r>
        <w:t xml:space="preserve">Samotná čísla z jednoho backtestu ovšem nestačí, proto je doplňuji čtveřicí testů robustnosti, které jsem teoreticky vymezil v kapitole 1. Výsledky rozkládám po jednotlivých letech, abych viděl, jestli výhoda drží v čase, nebo stojí na jediném období. Pomocí map parametrů zkoumám, zda dobré výsledky tvoří souvislou plochu, nebo jen osamocený vrchol typický pro přeučení. Metodou bootstrap a Monte Carlo simulacemi převádím jediný pozorovaný výsledek na rozdělení možných výsledků a odhaduji, kolik z něj mohla způsobit náhoda. Teprve shoda těchto testů rozhoduje o tom, jestli strategii pokládám za robustní.</w:t>
      </w:r>
    </w:p>
    <w:sectPr>
      <w:pgSz w:w="11906" w:h="16838" w:orient="portrait"/>
      <w:pgMar w:top="12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400"/>
    </w:pPr>
    <w:rPr>
      <w:b/>
      <w:bCs/>
      <w:color w:val="1F3864"/>
      <w:sz w:val="32"/>
      <w:szCs w:val="32"/>
    </w:rPr>
  </w:style>
  <w:style w:type="paragraph" w:styleId="Heading2">
    <w:name w:val="Heading 2"/>
    <w:basedOn w:val="Normal"/>
    <w:next w:val="Normal"/>
    <w:qFormat/>
    <w:pPr>
      <w:spacing w:after="120" w:before="280"/>
    </w:pPr>
    <w:rPr>
      <w:b/>
      <w:bCs/>
      <w:color w:val="2E5496"/>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2026-07-22T20:18:43.539Z</dcterms:created>
  <dcterms:modified xsi:type="dcterms:W3CDTF">2026-07-22T20:18:43.539Z</dcterms:modified>
</cp:coreProperties>
</file>

<file path=docProps/custom.xml><?xml version="1.0" encoding="utf-8"?>
<Properties xmlns="http://schemas.openxmlformats.org/officeDocument/2006/custom-properties" xmlns:vt="http://schemas.openxmlformats.org/officeDocument/2006/docPropsVTypes"/>
</file>