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0"/>
        <w:jc w:val="center"/>
      </w:pPr>
      <w:r>
        <w:rPr>
          <w:b/>
          <w:bCs/>
          <w:sz w:val="56"/>
          <w:szCs w:val="56"/>
        </w:rPr>
        <w:t xml:space="preserve">Návrh seminární práce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Podklad k prvotní konzultaci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Gymnázium Teplice, Čs. dobrovolců 11 • Ústecký kraj</w:t>
      </w:r>
    </w:p>
    <w:p>
      <w:pPr>
        <w:spacing w:after="140"/>
        <w:jc w:val="both"/>
      </w:pPr>
      <w:r>
        <w:rPr>
          <w:b/>
          <w:bCs/>
        </w:rPr>
        <w:t xml:space="preserve">Autor:</w:t>
      </w:r>
      <w:r>
        <w:t xml:space="preserve"> [Jméno a příjmení, třída]     </w:t>
      </w:r>
      <w:r>
        <w:rPr>
          <w:b/>
          <w:bCs/>
        </w:rPr>
        <w:t xml:space="preserve">Konzultant:</w:t>
      </w:r>
      <w:r>
        <w:t xml:space="preserve"> R. Gramskopf, Ph.D.     </w:t>
      </w:r>
      <w:r>
        <w:rPr>
          <w:b/>
          <w:bCs/>
        </w:rPr>
        <w:t xml:space="preserve">Předmět:</w:t>
      </w:r>
      <w:r>
        <w:t xml:space="preserve"> [název semináře]     </w:t>
      </w:r>
      <w:r>
        <w:rPr>
          <w:b/>
          <w:bCs/>
        </w:rPr>
        <w:t xml:space="preserve">Rok:</w:t>
      </w:r>
      <w:r>
        <w:t xml:space="preserve"> 2026</w:t>
      </w:r>
    </w:p>
    <w:p>
      <w:pPr>
        <w:pStyle w:val="Heading1"/>
        <w:spacing w:after="160" w:before="400"/>
      </w:pPr>
      <w:r>
        <w:t xml:space="preserve">1. Název práce</w:t>
      </w:r>
    </w:p>
    <w:p>
      <w:pPr>
        <w:spacing w:after="140"/>
        <w:jc w:val="both"/>
      </w:pPr>
      <w:r>
        <w:rPr>
          <w:b/>
          <w:bCs/>
        </w:rPr>
        <w:t xml:space="preserve">Česky:</w:t>
      </w:r>
      <w:r>
        <w:t xml:space="preserve"> Replikace a ověření robustnosti VWAP trendové obchodní strategie na futures kontraktu NQ</w:t>
      </w:r>
    </w:p>
    <w:p>
      <w:pPr>
        <w:spacing w:after="140"/>
        <w:jc w:val="both"/>
      </w:pPr>
      <w:r>
        <w:rPr>
          <w:b/>
          <w:bCs/>
        </w:rPr>
        <w:t xml:space="preserve">Anglicky:</w:t>
      </w:r>
      <w:r>
        <w:t xml:space="preserve"> Replication and Robustness Assessment of a VWAP Trend-Following Trading Strategy on the NQ Futures Contract</w:t>
      </w:r>
    </w:p>
    <w:p>
      <w:pPr>
        <w:pStyle w:val="Heading1"/>
        <w:spacing w:after="160" w:before="400"/>
      </w:pPr>
      <w:r>
        <w:t xml:space="preserve">2. Hlavní cíl</w:t>
      </w:r>
    </w:p>
    <w:p>
      <w:pPr>
        <w:spacing w:after="140"/>
        <w:jc w:val="both"/>
      </w:pPr>
      <w:r>
        <w:t xml:space="preserve">Cílem práce je replikovat výsledky VWAP trendové strategie popsané Zarattinim a Azizem (2023) a posoudit, zda se její historická výkonnost po přenosu na futures kontrakt NQ udrží po započtení realistických transakčních nákladů a při testech robustnosti.</w:t>
      </w:r>
    </w:p>
    <w:p>
      <w:pPr>
        <w:pStyle w:val="Heading1"/>
        <w:spacing w:after="160" w:before="400"/>
      </w:pPr>
      <w:r>
        <w:t xml:space="preserve">3. Výzkumné otázky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jaké míry lze replikovat výsledky původní studie na datech QQQ a TQQQ?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Jak výsledky strategie ovlivní přenos na jiné instrumenty (SPY, ES, NQ) a započtení realistických transakčních nákladů?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Jsou pozitivní výsledky upravené strategie stabilní v čase, na sousedních hodnotách parametrů a na datech nepoužitých při jejím vývoji?</w:t>
      </w:r>
    </w:p>
    <w:p>
      <w:pPr>
        <w:pStyle w:val="Heading1"/>
        <w:spacing w:after="160" w:before="400"/>
      </w:pPr>
      <w:r>
        <w:t xml:space="preserve">4. Stručný popis metody</w:t>
      </w:r>
    </w:p>
    <w:p>
      <w:pPr>
        <w:spacing w:after="140"/>
        <w:jc w:val="both"/>
      </w:pPr>
      <w:r>
        <w:t xml:space="preserve">Práce je koncipována jako </w:t>
      </w:r>
      <w:r>
        <w:rPr>
          <w:b/>
          <w:bCs/>
        </w:rPr>
        <w:t xml:space="preserve">kvantitativní replikační a simulační studie využívající backtesting</w:t>
      </w:r>
      <w:r>
        <w:t xml:space="preserve"> (testování obchodní strategie na historických datech). Metodické prvky: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a nástroje:</w:t>
      </w:r>
      <w:r>
        <w:t xml:space="preserve"> minutová historická data z platformy QuantConnect (výpočetní engine LEAN); statistické analýzy a grafy ve vlastních skriptech v jazyce Python (pandas, NumPy, Matplotlib, SciPy); výsledný indikátor pro živé sledování trhu v jazyce Pine Script (TradingView).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Sledované instrumenty:</w:t>
      </w:r>
      <w:r>
        <w:t xml:space="preserve"> QQQ a TQQQ (replikace), SPY, ES a NQ (přenos strategie). Období 2018–2025 pro vývoj (in-sample), období od října 2025 rezervované pro jednorázovou validaci (out-of-sample).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Kontinuální futures kontrakt:</w:t>
      </w:r>
      <w:r>
        <w:t xml:space="preserve"> sestaven navazováním jednotlivých expirací (mapování podle otevřeného zájmu, zpětné poměrové zarovnání cen).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Pravidla strategie:</w:t>
      </w:r>
      <w:r>
        <w:t xml:space="preserve"> vnitrodenní sledování trendu vůči session VWAP s hysterezním pásmem, jeden vstup denně, uzavření pozice na konci obchodní seance; přesná pravidla budou rozvedena v kapitole Data a metodologie.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 transakčních nákladů:</w:t>
      </w:r>
      <w:r>
        <w:t xml:space="preserve"> dva scénáře — optimistický 0,4 bazického bodu a konzervativní 1,2 bazického bodu na obchod (poplatek a skluz v plnění).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Velikost pozice:</w:t>
      </w:r>
      <w:r>
        <w:t xml:space="preserve"> jednonásobek hodnoty účtu; volitelně vrstva cílení volatility.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Rozdělení dat:</w:t>
      </w:r>
      <w:r>
        <w:t xml:space="preserve"> in-sample (vývoj a ladění) a out-of-sample (jednorázová validace na neviděných datech); předem stanovené testy budou důsledně odlišeny od pozdějších průzkumných analýz.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Hodnoticí ukazatele:</w:t>
      </w:r>
      <w:r>
        <w:t xml:space="preserve"> CAGR (složený roční výnos), Sharpe ratio, maximální drawdown, počet obchodů a úspěšnost.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Testy robustnosti:</w:t>
      </w:r>
      <w:r>
        <w:t xml:space="preserve"> roční dekompozice výsledků, mapy parametrů (heatmapy), bootstrap a Monte Carlo simulace, kontrola rizika přeučení (overfitting).</w:t>
      </w:r>
    </w:p>
    <w:p>
      <w:pPr>
        <w:pStyle w:val="Heading1"/>
        <w:spacing w:after="160" w:before="400"/>
      </w:pPr>
      <w:r>
        <w:t xml:space="preserve">5. Navržená osnova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Úvod — vymezení problému, cíl a výzkumné otázky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Teoretická a odborná východiska (VWAP; trend following; hypotéza efektivních trhů a její kritika; backtesting a riziko přeučení)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a metodologie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Replikace původní studie (QQQ, TQQQ)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Přenos a úpravy strategie na futures NQ (transakční náklady, hysterezní pásmo)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Výsledky testů robustnosti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Diskuse výsledků a limity práce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Závěr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Seznam literatury a přílohy (slovníček pojmů, přehled provedených backtestů, vývoj indikátoru)</w:t>
      </w:r>
    </w:p>
    <w:p>
      <w:pPr>
        <w:pStyle w:val="Heading1"/>
        <w:spacing w:after="160" w:before="400"/>
      </w:pPr>
      <w:r>
        <w:t xml:space="preserve">6. Předběžný seznam literatury</w:t>
      </w:r>
    </w:p>
    <w:p>
      <w:pPr>
        <w:spacing w:after="140"/>
        <w:jc w:val="both"/>
      </w:pPr>
      <w:r>
        <w:t xml:space="preserve">Uvedené zdroje je třeba ověřit a doformátovat přesně dle normy ČSN ISO 690 (rok, ISBN/DOI, čísla stran).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ZARATTINI, C.; AZIZ, A. VWAP: The Holy Grail for Day Trading Systems. SSRN Working Paper, 2023. [ověřit přesný název a číslo SSRN 4631351]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FAMA, E. F. Efficient Capital Markets: A Review of Theory and Empirical Work. The Journal of Finance, 1970, roč. 25, č. 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LO, A. W. The Adaptive Markets Hypothesis. The Journal of Portfolio Management, 2004, roč. 30, č. 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SHARPE, W. F. Mutual Fund Performance. The Journal of Business, 1966, roč. 39, č.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JEGADEESH, N.; TITMAN, S. Returns to Buying Winners and Selling Losers. The Journal of Finance, 1993, roč. 48, č.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ARONSON, D. R. Evidence-Based Technical Analysis. Hoboken: Wiley, 2007. ISBN 978-0-470-00874-4.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BAILEY, D. H.; BORWEIN, J.; LÓPEZ DE PRADO, M.; ZHU, Q. J. Pseudo-Mathematics and Financial Charlatanism: The Effects of Backtest Overfitting on Out-of-Sample Performance. Notices of the AMS, 2014, roč. 61, č. 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BAILEY, D. H.; LÓPEZ DE PRADO, M. The Deflated Sharpe Ratio. The Journal of Portfolio Management, 2014, roč. 40, č. 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HARVEY, C. R.; LIU, Y.; ZHU, H. … and the Cross-Section of Expected Returns. The Review of Financial Studies, 2016, roč. 29, č.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PARDO, R. The Evaluation and Optimization of Trading Strategies. 2. vyd. Hoboken: Wiley, 2008. ISBN 978-0-470-12801-5.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LÓPEZ DE PRADO, M. Advances in Financial Machine Learning. Hoboken: Wiley, 2018. ISBN 978-1-119-48208-6.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QuantConnect / LEAN Engine [software a historická data]. QuantConnect Corporation. [ověřit doporučenou citaci softwaru].</w:t>
      </w:r>
    </w:p>
    <w:p>
      <w:pPr>
        <w:pStyle w:val="Heading1"/>
        <w:spacing w:after="160" w:before="400"/>
      </w:pPr>
      <w:r>
        <w:t xml:space="preserve">7. Poznámka k autorství a využití nástrojů</w:t>
      </w:r>
    </w:p>
    <w:p>
      <w:pPr>
        <w:spacing w:after="140"/>
        <w:jc w:val="both"/>
      </w:pPr>
      <w:r>
        <w:t xml:space="preserve">Výzkumný návrh, volbu strategie, návrh jednotlivých testů, interpretaci výsledků a text práce zpracovávám samostatně. Při práci jsem využil software třetích stran (QuantConnect / LEAN, TradingView) a jazykový model umělé inteligence (Claude, Anthropic) jako </w:t>
      </w:r>
      <w:r>
        <w:rPr>
          <w:b/>
          <w:bCs/>
        </w:rPr>
        <w:t xml:space="preserve">pomůcku pro generování a ladění programového kódu</w:t>
      </w:r>
      <w:r>
        <w:t xml:space="preserve"> (Python, Pine Script) a jako výpočetního asistenta při zpracování dat. Konkrétní rozsah tohoto využití bude transparentně uveden v úvodu, případně v metodologii nebo v příloze, v souladu s pravidly školy o využití nástrojů umělé inteligence.</w:t>
      </w:r>
    </w:p>
    <w:p>
      <w:pPr>
        <w:pStyle w:val="Heading1"/>
        <w:spacing w:after="160" w:before="400"/>
      </w:pPr>
      <w:r>
        <w:t xml:space="preserve">8. Poznámka k terminologii závěrů</w:t>
      </w:r>
    </w:p>
    <w:p>
      <w:pPr>
        <w:spacing w:after="140"/>
        <w:jc w:val="both"/>
      </w:pPr>
      <w:r>
        <w:t xml:space="preserve">V práci nebude použita formulace o „spolehlivě výdělečné“ strategii. Backtest ukazuje, jak by strategie vycházela na historických datech, nikoli jak bude vydělávat v budoucnu. Protože finální konfigurace vznikla po desítkách testů na obdobných datech a čistý out-of-sample výsledek zatím není přesvědčivý, bude závěr formulován opatrně: podařilo se nalézt historicky slibnou konfiguraci, jejíž skutečnou platnost musí ověřit další nezávislá data nebo dlouhodobý paper trading.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2026-07-19T23:09:55.807Z</dcterms:created>
  <dcterms:modified xsi:type="dcterms:W3CDTF">2026-07-19T23:09:55.823Z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