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3000"/>
        <w:jc w:val="center"/>
      </w:pPr>
      <w:r>
        <w:rPr>
          <w:b/>
          <w:bCs/>
          <w:sz w:val="56"/>
          <w:szCs w:val="56"/>
        </w:rPr>
        <w:t xml:space="preserve">The Journey to the VWAP Trend Strategy</w:t>
      </w:r>
    </w:p>
    <w:p>
      <w:pPr>
        <w:spacing w:after="200"/>
        <w:jc w:val="center"/>
      </w:pPr>
      <w:r>
        <w:rPr>
          <w:color w:val="555555"/>
          <w:sz w:val="28"/>
          <w:szCs w:val="28"/>
        </w:rPr>
        <w:t xml:space="preserve">The complete story of one research project — from an academic paper to a final trading strategy</w:t>
      </w:r>
    </w:p>
    <w:p>
      <w:pPr>
        <w:spacing w:after="200"/>
        <w:jc w:val="center"/>
      </w:pPr>
      <w:r>
        <w:rPr>
          <w:color w:val="555555"/>
          <w:sz w:val="28"/>
          <w:szCs w:val="28"/>
        </w:rPr>
        <w:t xml:space="preserve">Strong Chicken Journal project • NQ futures • 2018–2026</w:t>
      </w:r>
    </w:p>
    <w:p>
      <w:pPr>
        <w:spacing w:after="200"/>
        <w:jc w:val="center"/>
      </w:pPr>
      <w:r>
        <w:rPr>
          <w:color w:val="555555"/>
          <w:sz w:val="28"/>
          <w:szCs w:val="28"/>
        </w:rPr>
        <w:t xml:space="preserve">Written for complete beginners — every term explained, no step left out</w:t>
      </w:r>
    </w:p>
    <w:p>
      <w:r>
        <w:br w:type="page"/>
      </w:r>
    </w:p>
    <w:p>
      <w:pPr>
        <w:pStyle w:val="Heading1"/>
        <w:spacing w:after="160" w:before="400"/>
      </w:pPr>
      <w:r>
        <w:t xml:space="preserve">1. Introduction — what this document is</w:t>
      </w:r>
    </w:p>
    <w:p>
      <w:pPr>
        <w:spacing w:after="140"/>
        <w:jc w:val="both"/>
      </w:pPr>
      <w:r>
        <w:t xml:space="preserve">This document tells the </w:t>
      </w:r>
      <w:r>
        <w:rPr>
          <w:b/>
          <w:bCs/>
        </w:rPr>
        <w:t xml:space="preserve">entire journey</w:t>
      </w:r>
      <w:r>
        <w:t xml:space="preserve"> of one quantitative research project: how we took an idea from an academic paper, verified it, broke it, repaired it, stress-tested it from every angle, ran into several walls — and finally distilled it into a trading strategy that was profitable in </w:t>
      </w:r>
      <w:r>
        <w:rPr>
          <w:b/>
          <w:bCs/>
        </w:rPr>
        <w:t xml:space="preserve">every single one of eight years</w:t>
      </w:r>
      <w:r>
        <w:t xml:space="preserve"> of historical data, with a worst drawdown of only −6.4%.</w:t>
      </w:r>
    </w:p>
    <w:p>
      <w:pPr>
        <w:spacing w:after="140"/>
        <w:jc w:val="both"/>
      </w:pPr>
      <w:r>
        <w:t xml:space="preserve">It is written so that a </w:t>
      </w:r>
      <w:r>
        <w:rPr>
          <w:b/>
          <w:bCs/>
        </w:rPr>
        <w:t xml:space="preserve">complete beginner</w:t>
      </w:r>
      <w:r>
        <w:t xml:space="preserve"> can follow it. Every technical term is explained the first time it appears, and chapter 3 is a glossary. Nothing is hidden — we describe </w:t>
      </w:r>
      <w:r>
        <w:rPr>
          <w:b/>
          <w:bCs/>
        </w:rPr>
        <w:t xml:space="preserve">every dead end</w:t>
      </w:r>
      <w:r>
        <w:t xml:space="preserve">, every failed test, the technical problems that slowed us down, and even the decisions we chose NOT to make. That is what separates honest research from marketing: marketing shows you only the winner; research also shows you the graveyard of ideas the winner is standing on.</w:t>
      </w:r>
    </w:p>
    <w:p>
      <w:pPr>
        <w:pStyle w:val="Heading1"/>
        <w:spacing w:after="160" w:before="400"/>
      </w:pPr>
      <w:r>
        <w:t xml:space="preserve">2. How the research was actually done (behind the scenes)</w:t>
      </w:r>
    </w:p>
    <w:p>
      <w:pPr>
        <w:spacing w:after="140"/>
        <w:jc w:val="both"/>
      </w:pPr>
      <w:r>
        <w:t xml:space="preserve">Before the content, the "workshop" — because the workflow is part of the story and shaped what was possible.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QuantConnect (QC)</w:t>
      </w:r>
      <w:r>
        <w:t xml:space="preserve"> — an online platform with minute-by-minute historical market data and the LEAN simulation engine; strategies are written in Python. We used a </w:t>
      </w:r>
      <w:r>
        <w:rPr>
          <w:b/>
          <w:bCs/>
        </w:rPr>
        <w:t xml:space="preserve">free account</w:t>
      </w:r>
      <w:r>
        <w:t xml:space="preserve">, which imposed three important constraints: (1) backtests could not be launched programmatically — every run had to be clicked manually in the browser; (2) only </w:t>
      </w:r>
      <w:r>
        <w:rPr>
          <w:b/>
          <w:bCs/>
        </w:rPr>
        <w:t xml:space="preserve">one compute node</w:t>
      </w:r>
      <w:r>
        <w:t xml:space="preserve"> was available — one running backtest at a time; (3) outputs (logs, charts) were read back through an API with limits (log pagination in 200-line pages, ~10 kB log cap). We therefore designed every experiment so that </w:t>
      </w:r>
      <w:r>
        <w:rPr>
          <w:b/>
          <w:bCs/>
        </w:rPr>
        <w:t xml:space="preserve">one click answered as many questions as possible</w:t>
      </w:r>
      <w:r>
        <w:t xml:space="preserve"> — instead of twenty runs, one run with twenty variants inside (the "compute-engine" pattern: strategies are simulated internally and results exported via chart series and tagged log lines).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Local analysis</w:t>
      </w:r>
      <w:r>
        <w:t xml:space="preserve"> — statistics (bootstrap, percentiles, heatmaps, charts) were computed with our own Python scripts (pandas, numpy, matplotlib) on data pulled from QC. Every figure in this document was produced this way.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TradingView</w:t>
      </w:r>
      <w:r>
        <w:t xml:space="preserve"> — a web charting app; in its Pine Script language we progressively built an indicator for live monitoring (its full evolution is chapter 15).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Git repository</w:t>
      </w:r>
      <w:r>
        <w:t xml:space="preserve"> — every piece of code, result, figure, and write-up is version-controlled; every conclusion has a traceable commit. The playbooks (technical journals) hold the full numbers of every test.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Costs in simulations</w:t>
      </w:r>
      <w:r>
        <w:t xml:space="preserve"> — everywhere we charge per-trade costs (fee + slippage). Two scenarios: optimistic 0.4 bps and </w:t>
      </w:r>
      <w:r>
        <w:rPr>
          <w:b/>
          <w:bCs/>
        </w:rPr>
        <w:t xml:space="preserve">conservative 1.2 bps</w:t>
      </w:r>
      <w:r>
        <w:t xml:space="preserve"> per round trip. Unless stated otherwise, every number in this document is after conservative costs.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Data</w:t>
      </w:r>
      <w:r>
        <w:t xml:space="preserve"> — NQ futures as a "continuous contract" (individual expirations stitched together), minute candles, main session. In-sample window: Jan 2, 2018 – Sep 30, 2025.</w:t>
      </w:r>
    </w:p>
    <w:p>
      <w:pPr>
        <w:pStyle w:val="Heading1"/>
        <w:spacing w:after="160" w:before="400"/>
      </w:pPr>
      <w:r>
        <w:t xml:space="preserve">3. Glossary for complete beginners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Futures (futures contract)</w:t>
      </w:r>
      <w:r>
        <w:t xml:space="preserve"> — an exchange contract for betting on the future price of something. We trade </w:t>
      </w:r>
      <w:r>
        <w:rPr>
          <w:b/>
          <w:bCs/>
        </w:rPr>
        <w:t xml:space="preserve">NQ</w:t>
      </w:r>
      <w:r>
        <w:t xml:space="preserve"> = futures on the Nasdaq-100 index. NQ moves in points; one point = $20 per contract.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Long / Short</w:t>
      </w:r>
      <w:r>
        <w:t xml:space="preserve"> — long = betting on a rise; short = betting on a fall. Futures make both equally easy.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RTH (Regular Trading Hours)</w:t>
      </w:r>
      <w:r>
        <w:t xml:space="preserve"> — the main US session: 9:30–16:00 New York time.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VWAP (Volume-Weighted Average Price)</w:t>
      </w:r>
      <w:r>
        <w:t xml:space="preserve"> — the day's average price weighted by traded volume; "the average price everyone actually paid today." The most watched intraday "fair price."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Bps (basis point)</w:t>
      </w:r>
      <w:r>
        <w:t xml:space="preserve"> — one hundredth of a percent. 20 bps = 0.20%.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Backtest</w:t>
      </w:r>
      <w:r>
        <w:t xml:space="preserve"> — a simulation of a strategy on historical data. It never proves the future, only describes the past.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In-sample (IS) / Out-of-sample (OOS)</w:t>
      </w:r>
      <w:r>
        <w:t xml:space="preserve"> — IS = data you develop and tune on. OOS = data locked away, never looked at during development. Only OOS is a real test — on IS you are always "taking the exam with the answer sheet in your pocket."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Overfitting</w:t>
      </w:r>
      <w:r>
        <w:t xml:space="preserve"> — trap #1: try enough variants and one will look great on the past by pure chance. Telltale sign: only one exact parameter value works (an isolated "spike"), its neighbors don't.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Equity curve</w:t>
      </w:r>
      <w:r>
        <w:t xml:space="preserve"> — a chart of account value over time.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CAGR</w:t>
      </w:r>
      <w:r>
        <w:t xml:space="preserve"> — compound annual growth rate.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Max drawdown (MDD)</w:t>
      </w:r>
      <w:r>
        <w:t xml:space="preserve"> — the largest peak-to-trough drop of the account. For prop traders THE number — a big drawdown gets you fired.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Sharpe ratio</w:t>
      </w:r>
      <w:r>
        <w:t xml:space="preserve"> — return divided by volatility; "return per unit of bumpiness." 1.0 decent, 1.4 very good, 2+ suspicious.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Win rate</w:t>
      </w:r>
      <w:r>
        <w:t xml:space="preserve"> — percentage of profitable trades. A high win rate does NOT mean a profitable strategy — you will see this twice.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Stop-loss (SL) / Take-profit (TP)</w:t>
      </w:r>
      <w:r>
        <w:t xml:space="preserve"> — SL = the level where you cut a loss; TP = the level where you take profit.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Stop-and-reverse</w:t>
      </w:r>
      <w:r>
        <w:t xml:space="preserve"> — an exit that simultaneously opens a position in the opposite direction.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Whipsaw</w:t>
      </w:r>
      <w:r>
        <w:t xml:space="preserve"> — a quick false move: you enter, the market immediately reverses, you exit with a loss.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Overnight gap</w:t>
      </w:r>
      <w:r>
        <w:t xml:space="preserve"> — the difference between today's open (9:30) and yesterday's close (16:00).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Vol-targeting (VT)</w:t>
      </w:r>
      <w:r>
        <w:t xml:space="preserve"> — sizing positions by current volatility (calm market = bigger position, wild = smaller) to target constant risk. "VT15" = 15% annual volatility target.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Monte Carlo / bootstrap</w:t>
      </w:r>
      <w:r>
        <w:t xml:space="preserve"> — resampling historical returns (with replacement) into thousands of alternative "how it could have gone" scenarios.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Percentile</w:t>
      </w:r>
      <w:r>
        <w:t xml:space="preserve"> — position in a distribution: "30th percentile" = 30% of scenarios did worse.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Quintiles</w:t>
      </w:r>
      <w:r>
        <w:t xml:space="preserve"> — splitting data into fifths (Q1 = bottom 20%, Q5 = top 20%).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t-statistic</w:t>
      </w:r>
      <w:r>
        <w:t xml:space="preserve"> — a measure of statistical significance; |t| above ~2 is considered signal, not noise.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Pre-registration</w:t>
      </w:r>
      <w:r>
        <w:t xml:space="preserve"> — writing down the success criteria BEFORE running a test, so the result cannot be bent afterwards.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Prop firm</w:t>
      </w:r>
      <w:r>
        <w:t xml:space="preserve"> — a company that gives a trader its capital for a profit share, with a strict drawdown limit.</w:t>
      </w:r>
    </w:p>
    <w:p>
      <w:r>
        <w:br w:type="page"/>
      </w:r>
    </w:p>
    <w:p>
      <w:pPr>
        <w:pStyle w:val="Heading1"/>
        <w:spacing w:after="160" w:before="400"/>
      </w:pPr>
      <w:r>
        <w:t xml:space="preserve">4. The starting point: the academic paper</w:t>
      </w:r>
    </w:p>
    <w:p>
      <w:pPr>
        <w:spacing w:after="140"/>
        <w:jc w:val="both"/>
      </w:pPr>
      <w:r>
        <w:t xml:space="preserve">Everything began with </w:t>
      </w:r>
      <w:r>
        <w:rPr>
          <w:b/>
          <w:bCs/>
        </w:rPr>
        <w:t xml:space="preserve">Zarattini &amp; Aziz: "VWAP: The Holy Grail for Day Trading Systems"</w:t>
      </w:r>
      <w:r>
        <w:t xml:space="preserve"> (SSRN 4631351). The authors claim a simple intraday trend-following strategy around VWAP achieved over 40% per year on the QQQ ETF (a Nasdaq-100 tracker) with a Sharpe around 2.</w:t>
      </w:r>
    </w:p>
    <w:p>
      <w:pPr>
        <w:spacing w:after="140"/>
        <w:jc w:val="both"/>
      </w:pPr>
      <w:r>
        <w:t xml:space="preserve">The paper's rules: every minute, check whether the candle closed above or below VWAP. Close </w:t>
      </w:r>
      <w:r>
        <w:rPr>
          <w:b/>
          <w:bCs/>
        </w:rPr>
        <w:t xml:space="preserve">above</w:t>
      </w:r>
      <w:r>
        <w:t xml:space="preserve"> → be long; close </w:t>
      </w:r>
      <w:r>
        <w:rPr>
          <w:b/>
          <w:bCs/>
        </w:rPr>
        <w:t xml:space="preserve">below</w:t>
      </w:r>
      <w:r>
        <w:t xml:space="preserve"> → be short (an immediate flip, stop-and-reverse). Entries fill at the next candle's open. Close everything at end of day. Pure </w:t>
      </w:r>
      <w:r>
        <w:rPr>
          <w:b/>
          <w:bCs/>
        </w:rPr>
        <w:t xml:space="preserve">trend-following</w:t>
      </w:r>
      <w:r>
        <w:t xml:space="preserve">: no guessing turns, just riding the current.</w:t>
      </w:r>
    </w:p>
    <w:p>
      <w:pPr>
        <w:spacing w:after="140"/>
        <w:jc w:val="both"/>
      </w:pPr>
      <w:r>
        <w:t xml:space="preserve">"Holy Grail" is marketing. Our question: </w:t>
      </w:r>
      <w:r>
        <w:rPr>
          <w:b/>
          <w:bCs/>
        </w:rPr>
        <w:t xml:space="preserve">is anything real in it, and does it survive contact with reality</w:t>
      </w:r>
      <w:r>
        <w:t xml:space="preserve"> (costs, slippage, other markets)?</w:t>
      </w:r>
    </w:p>
    <w:p>
      <w:pPr>
        <w:pStyle w:val="Heading1"/>
        <w:spacing w:after="160" w:before="400"/>
      </w:pPr>
      <w:r>
        <w:t xml:space="preserve">5. Step R1: Replication — checking the paper isn't lying</w:t>
      </w:r>
    </w:p>
    <w:p>
      <w:pPr>
        <w:spacing w:after="140"/>
        <w:jc w:val="both"/>
      </w:pPr>
      <w:r>
        <w:rPr>
          <w:b/>
          <w:bCs/>
        </w:rPr>
        <w:t xml:space="preserve">Replication</w:t>
      </w:r>
      <w:r>
        <w:t xml:space="preserve"> = programming the rules exactly as written and verifying the numbers match. Half the internet's "miracle" strategies die right here. We tested QQQ and the leveraged TQQQ, 2018 – Sep 2023, with the paper's own cost model: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metric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QQQ ours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QQQ paper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TQQQ ours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TQQQ paper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total return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611.6%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671%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1,484%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8,242%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CAGR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40.8%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43%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61.9%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116%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volatility p.a.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17.7%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52.9%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54%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Sharpe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2.0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2.1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1.7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 drawdown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8.8%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9.4%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40.9%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36.1%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win rate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17.4%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~17%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18.1%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~17%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win:loss ratio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5.5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~5.7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5.2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~5.5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trades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23,360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~21,967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23,504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~22,399</w:t>
            </w:r>
          </w:p>
        </w:tc>
      </w:tr>
    </w:tbl>
    <w:p>
      <w:pPr>
        <w:spacing w:after="120"/>
      </w:pPr>
    </w:p>
    <w:p>
      <w:pPr>
        <w:spacing w:after="140"/>
        <w:jc w:val="both"/>
      </w:pPr>
      <w:r>
        <w:rPr>
          <w:b/>
          <w:bCs/>
        </w:rPr>
        <w:t xml:space="preserve">QQQ: PASS, an almost exact match.</w:t>
      </w:r>
      <w:r>
        <w:t xml:space="preserve"> Notice: a 17% win rate — the strategy loses 5 trades out of 6, yet earns, because the average win is 5.5× the average loss. That is the DNA of trend-following: </w:t>
      </w:r>
      <w:r>
        <w:rPr>
          <w:b/>
          <w:bCs/>
        </w:rPr>
        <w:t xml:space="preserve">many small losses, an occasional huge win.</w:t>
      </w:r>
    </w:p>
    <w:p>
      <w:pPr>
        <w:spacing w:after="140"/>
        <w:jc w:val="both"/>
      </w:pPr>
      <w:r>
        <w:rPr>
          <w:b/>
          <w:bCs/>
        </w:rPr>
        <w:t xml:space="preserve">TQQQ: trade structure matches, headline number doesn't.</w:t>
      </w:r>
      <w:r>
        <w:t xml:space="preserve"> We traced the 0.71 bps/trade gap exactly: the paper computes per-share fees on pre-split prices, where the share price is high and the fee relatively tiny; on split-adjusted data the same fee is several times larger relatively. A data artifact, not a rules error — which is why QQQ (high share price) matched.</w:t>
      </w:r>
    </w:p>
    <w:p>
      <w:pPr>
        <w:pStyle w:val="Heading1"/>
        <w:spacing w:after="160" w:before="400"/>
      </w:pPr>
      <w:r>
        <w:t xml:space="preserve">6. Step R2: Translating to the S&amp;P 500 — dead end #1</w:t>
      </w:r>
    </w:p>
    <w:p>
      <w:pPr>
        <w:spacing w:after="140"/>
        <w:jc w:val="both"/>
      </w:pPr>
      <w:r>
        <w:t xml:space="preserve">We don't want to trade a fund, we want futures. Before the test we wrote down explicit decisions (no silent defaults): ES anchored to RTH 9:30–16:00; continuous contract; position 1× account value, no leverage; costs 0.4/1.2 bps per trade; window ending Sep 30, 2025 (the reserved OOS untouched). Results (2018 – 2025/09, ~17.5 trades/day):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scenario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SPY CAGR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SPY Sharpe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 CAGR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 Sharpe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gross (no costs)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+9.8%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0.76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+12.0%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0.91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optimistic costs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−8.0%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−0.54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−6.1%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−0.39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conservative costs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−35.5%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−2.91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−34.1%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−2.78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simply holding SPY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+14.3%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0.65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40"/>
        <w:jc w:val="both"/>
      </w:pPr>
      <w:r>
        <w:t xml:space="preserve">Two crushing findings. </w:t>
      </w:r>
      <w:r>
        <w:rPr>
          <w:b/>
          <w:bCs/>
        </w:rPr>
        <w:t xml:space="preserve">First:</w:t>
      </w:r>
      <w:r>
        <w:t xml:space="preserve"> the gross edge on the S&amp;P is 4× weaker than on the Nasdaq — intraday trendiness is a property of the tech index, not of markets in general. Gross return is even BELOW buy-and-hold. </w:t>
      </w:r>
      <w:r>
        <w:rPr>
          <w:b/>
          <w:bCs/>
        </w:rPr>
        <w:t xml:space="preserve">Second:</w:t>
      </w:r>
      <w:r>
        <w:t xml:space="preserve"> ~17.5 trades/day × cost × 250 days = an enormous bleed. For completeness: even the flagship QQQ with realistic costs is sobering — optimistic +19.4% (Sharpe 1.07, still interesting), conservative </w:t>
      </w:r>
      <w:r>
        <w:rPr>
          <w:b/>
          <w:bCs/>
        </w:rPr>
        <w:t xml:space="preserve">−14.0%</w:t>
      </w:r>
      <w:r>
        <w:t xml:space="preserve"> (dead). The paper effectively assumes trading for free.</w:t>
      </w:r>
    </w:p>
    <w:p>
      <w:pPr>
        <w:pBdr>
          <w:left w:val="single" w:color="888888" w:sz="18" w:space="8"/>
        </w:pBdr>
        <w:spacing w:after="160"/>
        <w:ind w:left="480"/>
      </w:pPr>
      <w:r>
        <w:rPr>
          <w:i/>
          <w:iCs/>
        </w:rPr>
        <w:t xml:space="preserve">Lesson #1: Costs are not a detail. For high-frequency strategies they decide life and death. Any backtest without realistic costs is a fairy tale.</w:t>
      </w:r>
    </w:p>
    <w:p>
      <w:pPr>
        <w:pStyle w:val="Heading1"/>
        <w:spacing w:after="160" w:before="400"/>
      </w:pPr>
      <w:r>
        <w:t xml:space="preserve">7. Step R4: The rescue on NQ — the hysteresis band</w:t>
      </w:r>
    </w:p>
    <w:p>
      <w:pPr>
        <w:spacing w:after="140"/>
        <w:jc w:val="both"/>
      </w:pPr>
      <w:r>
        <w:t xml:space="preserve">We moved the strategy to NQ (Nasdaq futures — where the edge lives) and attacked the costs. Starting point: 16.2 trades/day, conservative-cost CAGR </w:t>
      </w:r>
      <w:r>
        <w:rPr>
          <w:b/>
          <w:bCs/>
        </w:rPr>
        <w:t xml:space="preserve">−17.8%</w:t>
      </w:r>
      <w:r>
        <w:t xml:space="preserve">. The fix: a </w:t>
      </w:r>
      <w:r>
        <w:rPr>
          <w:b/>
          <w:bCs/>
        </w:rPr>
        <w:t xml:space="preserve">hysteresis band</w:t>
      </w:r>
      <w:r>
        <w:t xml:space="preserve"> — draw a ±20 bps band around VWAP and act only when price closes BEYOND it. "Hysteresis" is a physics term: ignore small stimuli, respond only to large ones.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configuration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trades/day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CAGR (conserv. costs)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Sharpe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MDD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band (raw replica)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16.2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−17.8%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 bps band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+9.5%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0.59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−22.4%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 bps band + VT15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2.5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+9.6%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0.74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−12.2%</w:t>
            </w:r>
          </w:p>
        </w:tc>
      </w:tr>
    </w:tbl>
    <w:p>
      <w:pPr>
        <w:spacing w:after="120"/>
      </w:pPr>
    </w:p>
    <w:p>
      <w:pPr>
        <w:spacing w:after="140"/>
        <w:jc w:val="both"/>
      </w:pPr>
      <w:r>
        <w:t xml:space="preserve">The anatomy of why it works: </w:t>
      </w:r>
      <w:r>
        <w:rPr>
          <w:b/>
          <w:bCs/>
        </w:rPr>
        <w:t xml:space="preserve">77% of the original trades were whipsaws under 15 minutes</w:t>
      </w:r>
      <w:r>
        <w:t xml:space="preserve">, collectively losing hundreds of percent — the band filtered them out. And the other side of the coin: </w:t>
      </w:r>
      <w:r>
        <w:rPr>
          <w:b/>
          <w:bCs/>
        </w:rPr>
        <w:t xml:space="preserve">the top 1% of trades carried 2–3.6× the total profit</w:t>
      </w:r>
      <w:r>
        <w:t xml:space="preserve"> — without the rare big winners the strategy does not exist. The VT15 layer doesn't raise the return but smooths the risk (drawdown −22% → −12%). This configuration (20 bps band + VT15) was frozen for the live test.</w:t>
      </w:r>
    </w:p>
    <w:p>
      <w:pPr>
        <w:pStyle w:val="Heading1"/>
        <w:spacing w:after="160" w:before="400"/>
      </w:pPr>
      <w:r>
        <w:t xml:space="preserve">8. Step R3: The one-shot test on unseen data</w:t>
      </w:r>
    </w:p>
    <w:p>
      <w:pPr>
        <w:spacing w:after="140"/>
        <w:jc w:val="both"/>
      </w:pPr>
      <w:r>
        <w:t xml:space="preserve">From the start we kept a </w:t>
      </w:r>
      <w:r>
        <w:rPr>
          <w:b/>
          <w:bCs/>
        </w:rPr>
        <w:t xml:space="preserve">locked OOS window</w:t>
      </w:r>
      <w:r>
        <w:t xml:space="preserve">: data from Oct 1, 2025 onward, forbidden to touch. Before the test came the </w:t>
      </w:r>
      <w:r>
        <w:rPr>
          <w:b/>
          <w:bCs/>
        </w:rPr>
        <w:t xml:space="preserve">frozen spec</w:t>
      </w:r>
      <w:r>
        <w:t xml:space="preserve"> ceremony: we wrote to a file the exact configuration, the exact evaluation bands (e.g. a result between −5% and 0% = "inconclusive"), and the promise the test runs only once. Only then the click.</w:t>
      </w:r>
    </w:p>
    <w:p>
      <w:pPr>
        <w:spacing w:after="140"/>
        <w:jc w:val="both"/>
      </w:pPr>
      <w:r>
        <w:t xml:space="preserve">A complication: the platform's continuous NQ data ended Apr 16, 2026, so of the planned 197 trading days only </w:t>
      </w:r>
      <w:r>
        <w:rPr>
          <w:b/>
          <w:bCs/>
        </w:rPr>
        <w:t xml:space="preserve">140</w:t>
      </w:r>
      <w:r>
        <w:t xml:space="preserve"> materialized. The result: gross +1.87%, optimistic costs +1.11%, conservative </w:t>
      </w:r>
      <w:r>
        <w:rPr>
          <w:b/>
          <w:bCs/>
        </w:rPr>
        <w:t xml:space="preserve">−1.33%</w:t>
      </w:r>
      <w:r>
        <w:t xml:space="preserve"> → per the pre-registered bands, </w:t>
      </w:r>
      <w:r>
        <w:rPr>
          <w:b/>
          <w:bCs/>
        </w:rPr>
        <w:t xml:space="preserve">INCONCLUSIVE</w:t>
      </w:r>
      <w:r>
        <w:t xml:space="preserve">. Important: the mechanics matched (2.3 trades/day, win rate 35.8% ≈ history) — the strategy behaved correctly; the edge was simply weak in that period. The window was thereby </w:t>
      </w:r>
      <w:r>
        <w:rPr>
          <w:b/>
          <w:bCs/>
        </w:rPr>
        <w:t xml:space="preserve">consumed</w:t>
      </w:r>
      <w:r>
        <w:t xml:space="preserve">.</w:t>
      </w:r>
    </w:p>
    <w:p>
      <w:pPr>
        <w:pBdr>
          <w:left w:val="single" w:color="888888" w:sz="18" w:space="8"/>
        </w:pBdr>
        <w:spacing w:after="160"/>
        <w:ind w:left="480"/>
      </w:pPr>
      <w:r>
        <w:rPr>
          <w:i/>
          <w:iCs/>
        </w:rPr>
        <w:t xml:space="preserve">Lesson #2: A short OOS window is a coin flip — statistically it cannot tell "works" from "doesn't." Monte Carlo will prove exactly this shortly.</w:t>
      </w:r>
    </w:p>
    <w:p>
      <w:pPr>
        <w:pStyle w:val="Heading1"/>
        <w:spacing w:after="160" w:before="400"/>
      </w:pPr>
      <w:r>
        <w:t xml:space="preserve">9. Diagnosis D1: When does the strategy make money?</w:t>
      </w:r>
    </w:p>
    <w:p>
      <w:pPr>
        <w:spacing w:after="140"/>
        <w:jc w:val="both"/>
      </w:pPr>
      <w:r>
        <w:t xml:space="preserve">Instead of more tuning, we decomposed the edge by year and looked for the conditions it lives in: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year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NQ volatility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raw gross edge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band-20 net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band+VT15 net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2018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20.1%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+49.4%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+23.9%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+17.0%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2019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11.9%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+10.9%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−3.8%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−3.8%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2020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23.3%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+89.2%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+13.7%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+18.9%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2021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14.5%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+49.4%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+22.9%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+21.4%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2022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26.8%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+66.4%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+14.4%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+13.0%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2023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15.2%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+13.0%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+0.7%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+1.3%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2024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13.9%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+23.6%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+19.2%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+19.1%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2025 (Jan–Sep)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21.4%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+5.1%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−11.4%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−7.8%</w:t>
            </w:r>
          </w:p>
        </w:tc>
      </w:tr>
    </w:tbl>
    <w:p>
      <w:pPr>
        <w:spacing w:after="120"/>
      </w:pPr>
    </w:p>
    <w:p>
      <w:pPr>
        <w:spacing w:after="140"/>
        <w:jc w:val="both"/>
      </w:pPr>
      <w:r>
        <w:t xml:space="preserve">The pattern: </w:t>
      </w:r>
      <w:r>
        <w:rPr>
          <w:b/>
          <w:bCs/>
        </w:rPr>
        <w:t xml:space="preserve">the edge correlates with volatility</w:t>
      </w:r>
      <w:r>
        <w:t xml:space="preserve"> (correlation +0.62; with time −0.44). Calm 2019 = weakest, wild 2020/2022 = strongest. Trend-following needs movement. But the last row is a warning: 2025 had volatility comparable to 2018 (21 vs 20%), yet an edge of only +5% instead of +49%. </w:t>
      </w:r>
      <w:r>
        <w:rPr>
          <w:b/>
          <w:bCs/>
        </w:rPr>
        <w:t xml:space="preserve">The last ~2 years deliver less edge than their volatility would predict</w:t>
      </w:r>
      <w:r>
        <w:t xml:space="preserve"> — a possible fingerprint of "crowding" (too many people trading the same thing). Filed as something to watch.</w:t>
      </w:r>
    </w:p>
    <w:p>
      <w:pPr>
        <w:pStyle w:val="Heading1"/>
        <w:spacing w:after="160" w:before="400"/>
      </w:pPr>
      <w:r>
        <w:t xml:space="preserve">10. Diagnosis D2: Monte Carlo and the parameter map</w:t>
      </w:r>
    </w:p>
    <w:p>
      <w:pPr>
        <w:spacing w:after="140"/>
        <w:jc w:val="both"/>
      </w:pPr>
      <w:r>
        <w:t xml:space="preserve">Two questions: (1) How much of the −1.33% OOS result is noise? (2) Is the configuration overfitted to one lucky value?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Monte Carlo: the distribution of possible outcomes (10,000 replayed scenarios from 5,372 historical trades).</w:t>
      </w:r>
    </w:p>
    <w:p>
      <w:pPr>
        <w:spacing w:after="140"/>
        <w:jc w:val="both"/>
      </w:pPr>
      <w:r>
        <w:rPr>
          <w:b/>
          <w:bCs/>
        </w:rPr>
        <w:t xml:space="preserve">In-sample bootstrap:</w:t>
      </w:r>
      <w:r>
        <w:t xml:space="preserve"> median CAGR +9.7% (5th–95th percentile: +1.2 to +19.0%), probability of a negative CAGR only 3.2%. But the </w:t>
      </w:r>
      <w:r>
        <w:rPr>
          <w:b/>
          <w:bCs/>
        </w:rPr>
        <w:t xml:space="preserve">bootstrap of the OOS segment</w:t>
      </w:r>
      <w:r>
        <w:t xml:space="preserve"> (325 trades): median −1.4%, range −16 to +18%, and crucially </w:t>
      </w:r>
      <w:r>
        <w:rPr>
          <w:b/>
          <w:bCs/>
        </w:rPr>
        <w:t xml:space="preserve">P(positive) = 44.8%</w:t>
      </w:r>
      <w:r>
        <w:t xml:space="preserve"> — a coin flip. The −1.33% result is therefore almost entirely noise; the window had no power to decide anything. The "inconclusive" verdict of R3 was thus empirically confirmed.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The fan of equity curves from Monte Carlo — this is how wide the spread of possible fates of the same strategy is.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The parameter map (band × VT): one connected island of good values = a healthy sign.</w:t>
      </w:r>
    </w:p>
    <w:p>
      <w:pPr>
        <w:spacing w:after="140"/>
        <w:jc w:val="both"/>
      </w:pPr>
      <w:r>
        <w:t xml:space="preserve">The 5×5 grid (band 10–30 bps × VT 10–20%) by Sharpe: our cell (20, 15) = 0.75; the entire band rows 20/25/30 above 0.7; the best ridge at band 25 (Sharpe up to 1.04). Formal cluster analysis: at a Sharpe ≥ 0.5 threshold the good cells form </w:t>
      </w:r>
      <w:r>
        <w:rPr>
          <w:b/>
          <w:bCs/>
        </w:rPr>
        <w:t xml:space="preserve">one connected island of 16 of 25</w:t>
      </w:r>
      <w:r>
        <w:t xml:space="preserve"> — no isolate. Our configuration sits inside it (at the edge toward smaller bands). Conclusion: parametrically healthy.</w:t>
      </w:r>
    </w:p>
    <w:p>
      <w:pPr>
        <w:pStyle w:val="Heading1"/>
        <w:spacing w:after="160" w:before="400"/>
      </w:pPr>
      <w:r>
        <w:t xml:space="preserve">11. Dead end #2: the fixed take-profit (the TP grid)</w:t>
      </w:r>
    </w:p>
    <w:p>
      <w:pPr>
        <w:spacing w:after="140"/>
        <w:jc w:val="both"/>
      </w:pPr>
      <w:r>
        <w:t xml:space="preserve">A tempting idea arrived: "add a fixed profit target for a higher win rate and less variance." Before the test we wrote down a prediction: "a fixed TP will significantly hurt expectancy." We tested TP at 0.25×, 0.5× and 1× the trade's risk (risk = distance from entry to the opposite band):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variant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win rate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trades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CAGR (conserv.)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MDD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TP = 0.25× risk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79.6%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11,115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−11.3%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−62.9%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TP = 0.5× risk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66.3%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8,513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−6.8%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−47.5%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TP = 1× risk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51.3%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6,656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−1.2%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−37.5%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TP (original)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36.4%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5,051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+9.5%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−22.4%</w:t>
            </w:r>
          </w:p>
        </w:tc>
      </w:tr>
    </w:tbl>
    <w:p>
      <w:pPr>
        <w:spacing w:after="120"/>
      </w:pPr>
    </w:p>
    <w:p>
      <w:pPr>
        <w:spacing w:after="140"/>
        <w:jc w:val="both"/>
      </w:pPr>
      <w:r>
        <w:t xml:space="preserve">The prediction was confirmed harder than expected — and the relationship is perfectly </w:t>
      </w:r>
      <w:r>
        <w:rPr>
          <w:b/>
          <w:bCs/>
        </w:rPr>
        <w:t xml:space="preserve">monotonic</w:t>
      </w:r>
      <w:r>
        <w:t xml:space="preserve">: the tighter the TP, the worse. A TP with an 80% win rate loses 11% a year! The mechanism: trend-following profit comes from a few huge winners; a fixed TP systematically cuts them off ("picks the flowers, waters the weeds") and lets only the losses run.</w:t>
      </w:r>
    </w:p>
    <w:p>
      <w:pPr>
        <w:pBdr>
          <w:left w:val="single" w:color="888888" w:sz="18" w:space="8"/>
        </w:pBdr>
        <w:spacing w:after="160"/>
        <w:ind w:left="480"/>
      </w:pPr>
      <w:r>
        <w:rPr>
          <w:i/>
          <w:iCs/>
        </w:rPr>
        <w:t xml:space="preserve">Lesson #3: Win rate is a marketing number. An 80% win rate can reliably go broke while a 36% win rate reliably earns.</w:t>
      </w:r>
    </w:p>
    <w:p>
      <w:pPr>
        <w:pStyle w:val="Heading1"/>
        <w:spacing w:after="160" w:before="400"/>
      </w:pPr>
      <w:r>
        <w:t xml:space="preserve">12. A new variant: one trade per day</w:t>
      </w:r>
    </w:p>
    <w:p>
      <w:pPr>
        <w:spacing w:after="140"/>
        <w:jc w:val="both"/>
      </w:pPr>
      <w:r>
        <w:t xml:space="preserve">For real (discretionary) trading, stop-and-reverse with 2–3 trades/day is impractical. So we reshaped the strategy: </w:t>
      </w:r>
      <w:r>
        <w:rPr>
          <w:b/>
          <w:bCs/>
        </w:rPr>
        <w:t xml:space="preserve">one trade per day</w:t>
      </w:r>
      <w:r>
        <w:t xml:space="preserve">. Rules: from 9:31, wait for a 1-minute candle to close beyond the VWAP ±20 bps band → enter in the break's direction at the next candle's open, first signal of the day only. Exit: a close beyond the opposite band (no reversing!), or 16:00. We ran a verification with two branches — no TP, and a real TP of 74.375 points (half the originally considered 148.75):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Equity curve of the one-trade-per-day variant (no TP): +89% over 7.7 years.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Both branches compared: no TP (blue) vs. TP 74.4 points (red).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variant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CAGR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MDD</w:t>
            </w:r>
          </w:p>
        </w:tc>
        <w:tc>
          <w:tcPr>
            <w:tcW w:type="dxa" w:w="1872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win rate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TP (band exit)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+89.1%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+8.6%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−17.2%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36.9%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with TP 74.375 pts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+21.3%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+2.4%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−9.3%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46.8%</w:t>
            </w:r>
          </w:p>
        </w:tc>
      </w:tr>
    </w:tbl>
    <w:p>
      <w:pPr>
        <w:spacing w:after="120"/>
      </w:pPr>
    </w:p>
    <w:p>
      <w:pPr>
        <w:spacing w:after="140"/>
        <w:jc w:val="both"/>
      </w:pPr>
      <w:r>
        <w:t xml:space="preserve">The same lesson in a new disguise: the TP raised the win rate to 47% and softened the drawdown, but </w:t>
      </w:r>
      <w:r>
        <w:rPr>
          <w:b/>
          <w:bCs/>
        </w:rPr>
        <w:t xml:space="preserve">cut the return to a quarter</w:t>
      </w:r>
      <w:r>
        <w:t xml:space="preserve">. An important question also came up here: "wouldn't this beat the index?" The honest answer: </w:t>
      </w:r>
      <w:r>
        <w:rPr>
          <w:b/>
          <w:bCs/>
        </w:rPr>
        <w:t xml:space="preserve">no</w:t>
      </w:r>
      <w:r>
        <w:t xml:space="preserve"> — simply holding the Nasdaq earned several times more over the same period. The strategy's added value is not raw return but </w:t>
      </w:r>
      <w:r>
        <w:rPr>
          <w:b/>
          <w:bCs/>
        </w:rPr>
        <w:t xml:space="preserve">half the drawdown, zero overnight risk, and the short side</w:t>
      </w:r>
      <w:r>
        <w:t xml:space="preserve"> (it earns in declines too). This needs saying out loud.</w:t>
      </w:r>
    </w:p>
    <w:p>
      <w:pPr>
        <w:pStyle w:val="Heading1"/>
        <w:spacing w:after="160" w:before="400"/>
      </w:pPr>
      <w:r>
        <w:t xml:space="preserve">13. The robustness test: fan chart, cloud, and heatmaps</w:t>
      </w:r>
    </w:p>
    <w:p>
      <w:pPr>
        <w:spacing w:after="140"/>
        <w:jc w:val="both"/>
      </w:pPr>
      <w:r>
        <w:t xml:space="preserve">The request was: "let's do our classic robustness test — the OOS window, a spaghetti fan chart, a cluster analysis, and a parameter-stability heatmap." One QC run supplied everything: the frozen band-20 run extended over the whole 2018–2026/04 range (for the fan chart and the OOS line) + a band grid 8–30 bps on IS only (for the heatmap).</w:t>
      </w:r>
    </w:p>
    <w:p>
      <w:pPr>
        <w:pStyle w:val="Heading2"/>
        <w:spacing w:after="120" w:before="280"/>
      </w:pPr>
      <w:r>
        <w:t xml:space="preserve">13.1 The spaghetti fan chart — reality vs. expectations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500 randomly replayed scenarios (colored paths) and the actual result on the newest data (yellow path).</w:t>
      </w:r>
    </w:p>
    <w:p>
      <w:pPr>
        <w:spacing w:after="140"/>
        <w:jc w:val="both"/>
      </w:pPr>
      <w:r>
        <w:t xml:space="preserve">From the IS daily returns we generated 500 alternative futures and drew the </w:t>
      </w:r>
      <w:r>
        <w:rPr>
          <w:b/>
          <w:bCs/>
        </w:rPr>
        <w:t xml:space="preserve">actual</w:t>
      </w:r>
      <w:r>
        <w:t xml:space="preserve"> October 2025 – April 2026 result on top: </w:t>
      </w:r>
      <w:r>
        <w:rPr>
          <w:b/>
          <w:bCs/>
        </w:rPr>
        <w:t xml:space="preserve">+1.29% over 143 days = the 30th percentile</w:t>
      </w:r>
      <w:r>
        <w:t xml:space="preserve">. Reality stays inside the fan but below its middle — the edge exists, just weaker than the historical average. (Honesty note: this window had already been seen by R3, so for this variant it is "semi-OOS.")</w:t>
      </w:r>
    </w:p>
    <w:p>
      <w:pPr>
        <w:pStyle w:val="Heading2"/>
        <w:spacing w:after="120" w:before="280"/>
      </w:pPr>
      <w:r>
        <w:t xml:space="preserve">13.2 The outcome cloud (cluster analysis)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Each dot = one scenario (return × worst drawdown). The star = reality. 74% of scenarios positive.</w:t>
      </w:r>
    </w:p>
    <w:p>
      <w:pPr>
        <w:pStyle w:val="Heading2"/>
        <w:spacing w:after="120" w:before="280"/>
      </w:pPr>
      <w:r>
        <w:t xml:space="preserve">13.3 Band stability across years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Annual returns by band width 8–30 bps. Blue box = our band 20.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band (bps)</w:t>
            </w:r>
          </w:p>
        </w:tc>
        <w:tc>
          <w:tcPr>
            <w:tcW w:type="dxa" w:w="936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936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936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936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936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936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936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936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936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 total return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+29%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+39%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+38%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+51%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+80%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+91%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+66%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+58%</w:t>
            </w:r>
          </w:p>
        </w:tc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+50%</w:t>
            </w:r>
          </w:p>
        </w:tc>
      </w:tr>
    </w:tbl>
    <w:p>
      <w:pPr>
        <w:spacing w:after="120"/>
      </w:pPr>
    </w:p>
    <w:p>
      <w:pPr>
        <w:spacing w:after="140"/>
        <w:jc w:val="both"/>
      </w:pPr>
      <w:r>
        <w:t xml:space="preserve">The entire band family is profitable → the concept is not a one-value fluke. BUT: band 20 sits exactly at the </w:t>
      </w:r>
      <w:r>
        <w:rPr>
          <w:b/>
          <w:bCs/>
        </w:rPr>
        <w:t xml:space="preserve">peak</w:t>
      </w:r>
      <w:r>
        <w:t xml:space="preserve"> of the curve (18 → +80, 20 → +91, 22 → +66). A peak is always partly luck — the realistic expectation is the neighborhood average (+50–80%), not the peak. This "peak warning" proved useful twice later.</w:t>
      </w:r>
    </w:p>
    <w:p>
      <w:pPr>
        <w:pStyle w:val="Heading2"/>
        <w:spacing w:after="120" w:before="280"/>
      </w:pPr>
      <w:r>
        <w:t xml:space="preserve">13.4 The big 2D map: the overfitting check from the reference images</w:t>
      </w:r>
    </w:p>
    <w:p>
      <w:pPr>
        <w:spacing w:after="140"/>
        <w:jc w:val="both"/>
      </w:pPr>
      <w:r>
        <w:t xml:space="preserve">The user brought two textbook pictures: overfit = one bright pixel in noise; robust = a broad bright plateau. We built the same for our strategy: 12 band widths × 8 TP distances = </w:t>
      </w:r>
      <w:r>
        <w:rPr>
          <w:b/>
          <w:bCs/>
        </w:rPr>
        <w:t xml:space="preserve">96 combinations</w:t>
      </w:r>
      <w:r>
        <w:t xml:space="preserve"> in one run.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381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96 combinations (band × TP). Bright zone = profit. The cross = the deployed configuration (band 20, no TP).</w:t>
      </w:r>
    </w:p>
    <w:p>
      <w:pPr>
        <w:spacing w:after="140"/>
        <w:jc w:val="both"/>
      </w:pPr>
      <w:r>
        <w:t xml:space="preserve">The result: </w:t>
      </w:r>
      <w:r>
        <w:rPr>
          <w:b/>
          <w:bCs/>
        </w:rPr>
        <w:t xml:space="preserve">all 96 cells profitable</w:t>
      </w:r>
      <w:r>
        <w:t xml:space="preserve"> (weakest +5%), a connected bright zone of bands 16–24 with loose/no TP (+66 to +91%). Along the TP axis a perfectly smooth gradient (TP 40 pts → +5%, TP 250 → +77%, no TP → +91%) — yet another independent confirmation that TP hurts. Verdict: </w:t>
      </w:r>
      <w:r>
        <w:rPr>
          <w:b/>
          <w:bCs/>
        </w:rPr>
        <w:t xml:space="preserve">plateau, not spike</w:t>
      </w:r>
      <w:r>
        <w:t xml:space="preserve"> — but the deployed cell is again the global maximum, so the peak warning applies.</w:t>
      </w:r>
    </w:p>
    <w:p>
      <w:pPr>
        <w:pStyle w:val="Heading1"/>
        <w:spacing w:after="160" w:before="400"/>
      </w:pPr>
      <w:r>
        <w:t xml:space="preserve">14. Why the strategy stagnated in 2019–2020</w:t>
      </w:r>
    </w:p>
    <w:p>
      <w:pPr>
        <w:spacing w:after="140"/>
        <w:jc w:val="both"/>
      </w:pPr>
      <w:r>
        <w:t xml:space="preserve">The equity curve shows a two-year dead zone (the user circled it directly on the chart). The breakdown revealed two different causes: </w:t>
      </w:r>
      <w:r>
        <w:rPr>
          <w:b/>
          <w:bCs/>
        </w:rPr>
        <w:t xml:space="preserve">2019</w:t>
      </w:r>
      <w:r>
        <w:t xml:space="preserve"> = the lowest volatility of the sample, the market crawling up millimeter by millimeter, no intraday trends, whipsaws everywhere (+4.5%). </w:t>
      </w:r>
      <w:r>
        <w:rPr>
          <w:b/>
          <w:bCs/>
        </w:rPr>
        <w:t xml:space="preserve">2020</w:t>
      </w:r>
      <w:r>
        <w:t xml:space="preserve"> = a paradox: enormous volatility (COVID), but the "one trade per day" cap meant the first signal often fired in the insane open, got stopped immediately — day over; we watched the afternoon trend from the bench (−3.3%). Proof: the uncapped variant made +13.7% that year — </w:t>
      </w:r>
      <w:r>
        <w:rPr>
          <w:b/>
          <w:bCs/>
        </w:rPr>
        <w:t xml:space="preserve">the cap caused the loss, not the signal.</w:t>
      </w:r>
      <w:r>
        <w:t xml:space="preserve"> This insight launched the improvement phases.</w:t>
      </w:r>
    </w:p>
    <w:p>
      <w:pPr>
        <w:pStyle w:val="Heading1"/>
        <w:spacing w:after="160" w:before="400"/>
      </w:pPr>
      <w:r>
        <w:t xml:space="preserve">15. Interlude: the TradingView indicator's evolution (v1 → v3)</w:t>
      </w:r>
    </w:p>
    <w:p>
      <w:pPr>
        <w:spacing w:after="140"/>
        <w:jc w:val="both"/>
      </w:pPr>
      <w:r>
        <w:t xml:space="preserve">Alongside the research we built the live-monitoring tool. Each version answered a specific request or bug — this too is part of the journey: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v1</w:t>
      </w:r>
      <w:r>
        <w:t xml:space="preserve"> — the basic version: VWAP, ±20 bps band, BUY/SELL arrows; in an open trade the SL side of the band turned red.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v2, step 1</w:t>
      </w:r>
      <w:r>
        <w:t xml:space="preserve"> — request: don't draw the SL as a moving band but as a fixed line, + a green TP line at 148.75 points.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v2, step 2</w:t>
      </w:r>
      <w:r>
        <w:t xml:space="preserve"> — request: make the trade lines </w:t>
      </w:r>
      <w:r>
        <w:rPr>
          <w:b/>
          <w:bCs/>
        </w:rPr>
        <w:t xml:space="preserve">short</w:t>
      </w:r>
      <w:r>
        <w:t xml:space="preserve"> (entry to exit), not infinite — so the chart keeps a readable history of all trades. Implementing it we caught a sneaky bug: the lines of old trades kept "stretching" toward new entries; the fix was a live-trade flag (trActive).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v2, step 3</w:t>
      </w:r>
      <w:r>
        <w:t xml:space="preserve"> — TP halved to 74.375 and a one-trade-per-day limit introduced (stop-and-reverse removed) — the indicator caught up with the new strategy variant.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v2, step 4</w:t>
      </w:r>
      <w:r>
        <w:t xml:space="preserve"> — a user bug report: "the history never shows a TP exit, only EOD or SL." Exact diagnosis: the TP line was only drawn, the position logic never evaluated it. Fix: a TP touch = a real exit + a green "TP" diamond.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v3</w:t>
      </w:r>
      <w:r>
        <w:t xml:space="preserve"> — two switchable modes: "TP (fixed target)" vs. "Band (no TP)" — in Band mode no lines; instead the SL side of the band turns red and the trade-direction side green. Along the way we caught a Pine Script compile error (line width cannot be dynamic) — fixed with a constant width.</w:t>
      </w:r>
    </w:p>
    <w:p>
      <w:pPr>
        <w:spacing w:after="140"/>
        <w:jc w:val="both"/>
      </w:pPr>
      <w:r>
        <w:t xml:space="preserve">An English copy was made for the user's friend, plus a </w:t>
      </w:r>
      <w:r>
        <w:rPr>
          <w:b/>
          <w:bCs/>
        </w:rPr>
        <w:t xml:space="preserve">local Python backtester</w:t>
      </w:r>
      <w:r>
        <w:t xml:space="preserve"> (vwap_trend_backtest.py) — a script that replays the same strategy on any CSV of minute data, with TP/fill/cost switches, so anyone can verify it independently.</w:t>
      </w:r>
    </w:p>
    <w:p>
      <w:pPr>
        <w:pStyle w:val="Heading1"/>
        <w:spacing w:after="160" w:before="400"/>
      </w:pPr>
      <w:r>
        <w:t xml:space="preserve">16. Improvement — the rules of the game and Phase A</w:t>
      </w:r>
    </w:p>
    <w:p>
      <w:pPr>
        <w:spacing w:after="140"/>
        <w:jc w:val="both"/>
      </w:pPr>
      <w:r>
        <w:t xml:space="preserve">Before improving anything we wrote the rules (pre-registration): everything on IS data only; an improvement must raise CAGR by ≥2 points OR sharply cut the drawdown; must hold in most years (≥5/8); neighboring parameters must agree (no new spike). Two hypotheses from chapter 14: </w:t>
      </w:r>
      <w:r>
        <w:rPr>
          <w:b/>
          <w:bCs/>
        </w:rPr>
        <w:t xml:space="preserve">H1</w:t>
      </w:r>
      <w:r>
        <w:t xml:space="preserve"> — skip the chaotic open (enter from 9:45/10:00/10:30); </w:t>
      </w:r>
      <w:r>
        <w:rPr>
          <w:b/>
          <w:bCs/>
        </w:rPr>
        <w:t xml:space="preserve">H2</w:t>
      </w:r>
      <w:r>
        <w:t xml:space="preserve"> — allow another attempt after a morning stop-out (max 2/4 trades per day). One run: a grid of 4 entry times × 3 caps = 12 variants + an export of five daily conditions for the follow-up analysis.</w:t>
      </w:r>
    </w:p>
    <w:p>
      <w:pPr>
        <w:spacing w:after="140"/>
        <w:jc w:val="both"/>
      </w:pPr>
      <w:r>
        <w:t xml:space="preserve">A technical aside (honesty): the first run hit an undocumented </w:t>
      </w:r>
      <w:r>
        <w:rPr>
          <w:b/>
          <w:bCs/>
        </w:rPr>
        <w:t xml:space="preserve">limit of 10 chart series per backtest</w:t>
      </w:r>
      <w:r>
        <w:t xml:space="preserve"> — we wanted 17, and the platform silently dropped seven. The fix: move the yearly sub-totals of all variants into logs, keep only essential series in charts — and one extra click.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variant (entry / max trades)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CAGR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MDD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Sharpe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win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years +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9:31 / 1 (baseline)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+91.1%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+8.7%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−17.2%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36.9%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6/8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9:31 / 2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+76.7%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+7.6%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−16.1%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0.60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36.9%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6/8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9:31 / 4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+109.4%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+10.0%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−17.7%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0.67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37.2%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5/8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9:45 / 1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+65.7%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+6.7%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−15.5%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0.65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36.9%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6/8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9:45 / 2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+122.7%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+10.9%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−16.7%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0.82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37.9%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7/8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9:45 / 4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+135.2%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+11.7%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−17.1%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0.78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38.0%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6/8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10:00 / 1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+100.7%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+9.4%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−11.9%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0.89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39.2%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7/8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10:00 / 2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+112.4%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+10.2%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−20.5%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0.78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39.1%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6/8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10:00 / 4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+113.8%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+10.3%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−20.4%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0.71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39.1%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6/8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10:30 / 1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+42.4%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+4.7%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−18.4%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0.49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40.5%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6/8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10:30 / 2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+102.1%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+9.5%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−18.7%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0.76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41.1%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6/8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10:30 / 4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+125.9%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+11.1%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−18.8%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0.81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41.1%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6/8</w:t>
            </w:r>
          </w:p>
        </w:tc>
      </w:tr>
    </w:tbl>
    <w:p>
      <w:pPr>
        <w:spacing w:after="120"/>
      </w:pPr>
    </w:p>
    <w:p>
      <w:pPr>
        <w:spacing w:after="40" w:before="12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The 12-variant grid broken down by year — each variant's (in)consistency is visible here.</w:t>
      </w:r>
    </w:p>
    <w:p>
      <w:pPr>
        <w:spacing w:after="140"/>
        <w:jc w:val="both"/>
      </w:pPr>
      <w:r>
        <w:rPr>
          <w:b/>
          <w:bCs/>
        </w:rPr>
        <w:t xml:space="preserve">Verdict on H2 (re-entry):</w:t>
      </w:r>
      <w:r>
        <w:t xml:space="preserve"> totals up, but head-to-head against the baseline it wins in only 4 of 8 years, the Sharpe drops (0.85 → 0.67–0.81), and crucially: the gains come from 2018/2020 while 2023 and 2025 get worse. Fails the criteria. </w:t>
      </w:r>
      <w:r>
        <w:rPr>
          <w:b/>
          <w:bCs/>
        </w:rPr>
        <w:t xml:space="preserve">Verdict on H1 (entry shift):</w:t>
      </w:r>
      <w:r>
        <w:t xml:space="preserve"> the "max 1" column jumps 191 → 166 → 201 → 142 thousand with no logic = noise. The 10:00 entry looks good (Sharpe 0.89, MDD −11.9), but both its neighbors are bad → a suspicious spike; we don't trust it.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The condition analysis: strategy return by quintile of five morning variables (rv20, gap, or5r, fhr, ptrend).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condition (quintiles Q1→Q5, bps/day)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Q1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Q2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Q3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Q4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Q5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note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fhr (9:30–10:00 range)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+0.7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−0.8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−5.0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+6.2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+15.7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 = +3.6 — strong!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gap (overnight)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−0.9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+2.6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+6.0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+6.0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+3.3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Q1 negative — a hint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ptrend (yesterday's trendiness)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+5.8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+12.5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+4.2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−2.8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−2.8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inverse — weak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rv20 (20-day volatility)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+3.2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+5.8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+3.6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+4.7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−0.0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nothing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or5r (9:30–9:35 range)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+2.3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+5.4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+2.7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+9.9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−3.4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noise</w:t>
            </w:r>
          </w:p>
        </w:tc>
      </w:tr>
    </w:tbl>
    <w:p>
      <w:pPr>
        <w:spacing w:after="120"/>
      </w:pPr>
    </w:p>
    <w:p>
      <w:pPr>
        <w:spacing w:after="140"/>
        <w:jc w:val="both"/>
      </w:pPr>
      <w:r>
        <w:t xml:space="preserve">The </w:t>
      </w:r>
      <w:r>
        <w:rPr>
          <w:b/>
          <w:bCs/>
        </w:rPr>
        <w:t xml:space="preserve">condition-first analysis</w:t>
      </w:r>
      <w:r>
        <w:t xml:space="preserve"> (measure first, then test) struck gold: days with a wide first-30-minutes range gave +16 bps/day (t = 3.6). A weaker hint: the overnight gap (smallest gaps = a negative quintile). The logic: trend-following needs days with morning energy.</w:t>
      </w:r>
    </w:p>
    <w:p>
      <w:pPr>
        <w:pStyle w:val="Heading1"/>
        <w:spacing w:after="160" w:before="400"/>
      </w:pPr>
      <w:r>
        <w:t xml:space="preserve">17. Phase B: gates — dead end #3 and an unexpected winner</w:t>
      </w:r>
    </w:p>
    <w:p>
      <w:pPr>
        <w:spacing w:after="140"/>
        <w:jc w:val="both"/>
      </w:pPr>
      <w:r>
        <w:t xml:space="preserve">We built "gates" (a gate = a condition without which the day is not traded at all). A crucial detail: the thresholds are not fixed numbers from the whole history (that would peek into the future) but a </w:t>
      </w:r>
      <w:r>
        <w:rPr>
          <w:b/>
          <w:bCs/>
        </w:rPr>
        <w:t xml:space="preserve">rolling percentile of the last 250 days computed from past days only</w:t>
      </w:r>
      <w:r>
        <w:t xml:space="preserve"> — exactly as it would be computed live. Base: 10:00 entry, 1 trade/day. Results: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gate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CAGR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MDD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Sharpe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years vs. base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days in market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filter (base)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+100.7%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+9.4%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−11.9%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0.89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1944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fhr ≥ 40th pct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+91.4%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+8.7%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−11.3%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5/8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1112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fhr ≥ 50th pct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+71.7%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+7.2%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−11.3%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0.84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3/8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931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fhr ≥ 60th pct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+62.1%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+6.4%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−12.0%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0.80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2/8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781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gap ≥ 20th pct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+140.7%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+12.0%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−11.3%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1.21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6/8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1502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ptrend ≤ 60th pct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+101.1%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+9.4%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−7.5%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1.13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3/8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1145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fhr50 + pt60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+71.9%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+7.2%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−6.2%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1.07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3/8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540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fhr50 + gap20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+85.5%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+8.3%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−11.3%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1.01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3/8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802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fhr gate — our favorite, from the strong signal — FAILED.</w:t>
      </w:r>
      <w:r>
        <w:t xml:space="preserve"> Monotonically: the stricter the threshold, the worse. The beautiful quintile signal did not transfer into a trading rule. Dead end #3.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gap gate — the outsider — WON.</w:t>
      </w:r>
      <w:r>
        <w:t xml:space="preserve"> Skipping the bottom 20% of days by overnight gap: +141%, Sharpe 1.21, 6/8 years, and above all it improved precisely the suspicious recent years 2023 (+6.7 vs +1.2) and 2025 (−2.4 vs −8.3).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pt gate</w:t>
      </w:r>
      <w:r>
        <w:t xml:space="preserve"> left the return unchanged but cut the drawdown to −7.5% — filed as a risk damper.</w:t>
      </w:r>
    </w:p>
    <w:p>
      <w:pPr>
        <w:pBdr>
          <w:left w:val="single" w:color="888888" w:sz="18" w:space="8"/>
        </w:pBdr>
        <w:spacing w:after="160"/>
        <w:ind w:left="480"/>
      </w:pPr>
      <w:r>
        <w:rPr>
          <w:i/>
          <w:iCs/>
        </w:rPr>
        <w:t xml:space="preserve">Lesson #4: The strength of a statistical signal does not equal the usefulness of a rule — and an inconspicuous signal can make a great rule. Test, don't believe.</w:t>
      </w:r>
    </w:p>
    <w:p>
      <w:pPr>
        <w:pStyle w:val="Heading1"/>
        <w:spacing w:after="160" w:before="400"/>
      </w:pPr>
      <w:r>
        <w:t xml:space="preserve">18. Phase C: is the gap gate luck? The plateau test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The gap-gate threshold sweep: return (blue) and Sharpe (red). Green zone = the 15–30 plateau.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gap threshold (percentile)</w:t>
            </w:r>
          </w:p>
        </w:tc>
        <w:tc>
          <w:tcPr>
            <w:tcW w:type="dxa" w:w="234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234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Sharpe</w:t>
            </w:r>
          </w:p>
        </w:tc>
        <w:tc>
          <w:tcPr>
            <w:tcW w:type="dxa" w:w="234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years vs. base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filter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+100.7%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0.89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+91.3%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0.88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3/8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+118.6%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1.07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5/8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+140.7%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1.21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6/8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+129.6%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1.19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6/8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+137.4%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1.25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7/8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+107.4%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1.12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5/8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 + ptrend60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+109.1%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1.27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4/8 (MDD −7.6%)</w:t>
            </w:r>
          </w:p>
        </w:tc>
      </w:tr>
    </w:tbl>
    <w:p>
      <w:pPr>
        <w:spacing w:after="120"/>
      </w:pPr>
    </w:p>
    <w:p>
      <w:pPr>
        <w:spacing w:after="140"/>
        <w:jc w:val="both"/>
      </w:pPr>
      <w:r>
        <w:t xml:space="preserve">One winning threshold can be luck, so we swept the whole neighborhood. The result: a </w:t>
      </w:r>
      <w:r>
        <w:rPr>
          <w:b/>
          <w:bCs/>
        </w:rPr>
        <w:t xml:space="preserve">plateau at 15–30</w:t>
      </w:r>
      <w:r>
        <w:t xml:space="preserve"> with logical edges (10 barely filters → like base; 40 already cuts good days). Exactly the shape of a robust strategy. Following the peak lesson, we deploy the </w:t>
      </w:r>
      <w:r>
        <w:rPr>
          <w:b/>
          <w:bCs/>
        </w:rPr>
        <w:t xml:space="preserve">middle of the plateau (25)</w:t>
      </w:r>
      <w:r>
        <w:t xml:space="preserve">, not the peak (20).</w:t>
      </w:r>
    </w:p>
    <w:p>
      <w:pPr>
        <w:pStyle w:val="Heading1"/>
        <w:spacing w:after="160" w:before="400"/>
      </w:pPr>
      <w:r>
        <w:t xml:space="preserve">19. Phase D: the independence test</w:t>
      </w:r>
    </w:p>
    <w:p>
      <w:pPr>
        <w:spacing w:after="140"/>
        <w:jc w:val="both"/>
      </w:pPr>
      <w:r>
        <w:t xml:space="preserve">One uncomfortable question remained: phases B/C ran on the 10:00-entry base — which we ourselves had flagged as a suspicious spike. Is the credit in the gate, or in the entry? The gap is known at 9:30, so the gate can be applied to the fully original 9:31 entry. Sanity anchors: both base variants had to replicate their earlier numbers to the decimal — they did.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The gap gate on both entries: it helps both, but the big gain requires the suspicious 10:00 entry.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variant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CAGR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MDD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Sharpe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years vs. own base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2025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9:31 no gate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+91.1%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+8.7%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−17.2%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−1.0%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9:31 + gap15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+89.7%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+8.6%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−16.0%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2/8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+2.7%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9:31 + gap25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+102.2%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+9.5%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−15.7%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1.05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5/8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+4.1%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10:00 no gate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+100.7%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+9.4%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−11.9%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0.89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−8.3%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10:00 + gap15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+118.6%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+10.6%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−11.3%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1.07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5/8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−5.5%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10:00 + gap25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+129.6%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+11.3%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−11.3%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1.19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6/8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−3.4%</w:t>
            </w:r>
          </w:p>
        </w:tc>
      </w:tr>
    </w:tbl>
    <w:p>
      <w:pPr>
        <w:spacing w:after="120"/>
      </w:pPr>
    </w:p>
    <w:p>
      <w:pPr>
        <w:spacing w:after="140"/>
        <w:jc w:val="both"/>
      </w:pPr>
      <w:r>
        <w:t xml:space="preserve">The answer: the gate helps the original entry too (Sharpe 0.85 → 1.05; the year 2025 flipped positive on both branches!), but more mildly — CAGR only +0.8 points, below our pre-registered 2-point bar. The honest conclusion: </w:t>
      </w:r>
      <w:r>
        <w:rPr>
          <w:b/>
          <w:bCs/>
        </w:rPr>
        <w:t xml:space="preserve">the gap gate = a real but modest improvement of the risk profile.</w:t>
      </w:r>
      <w:r>
        <w:t xml:space="preserve"> The big return numbers (+141%) require the shaky 10:00 entry and we do not promise them.</w:t>
      </w:r>
    </w:p>
    <w:p>
      <w:pPr>
        <w:pStyle w:val="Heading1"/>
        <w:spacing w:after="160" w:before="400"/>
      </w:pPr>
      <w:r>
        <w:t xml:space="preserve">20. Phase E: the closing run and the final configuration</w:t>
      </w:r>
    </w:p>
    <w:p>
      <w:pPr>
        <w:spacing w:after="140"/>
        <w:jc w:val="both"/>
      </w:pPr>
      <w:r>
        <w:t xml:space="preserve">The last, pre-registered run — then tuning ends: (a) add the pt gate on top of the gap gate (acceptance criterion: MDD down by at least 3 points, return no worse than −10% relative); (b) decompose into the long and short halves (descriptive only, no decision).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The final configuration: +117%, CAGR 10.5%, Sharpe 1.40, max drawdown −6.4%.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variant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CAGR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MDD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Sharpe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win</w:t>
            </w:r>
          </w:p>
        </w:tc>
        <w:tc>
          <w:tcPr>
            <w:tcW w:type="dxa" w:w="1337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days in market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base 9:31 no gates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+91.1%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+8.7%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−17.2%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36.9%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1946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 gap25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+102.2%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+9.5%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−15.7%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1.05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37.8%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1410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 gap25 + trend60 (FINAL)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+116.7%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+10.5%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−6.4%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1.40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39.8%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861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gap25, long only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+65.8%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+6.7%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−6.8%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0.84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1204</w:t>
            </w:r>
          </w:p>
        </w:tc>
      </w:tr>
      <w:tr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gap25, short only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+25.0%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+2.9%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−18.3%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0.39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1155</w:t>
            </w:r>
          </w:p>
        </w:tc>
      </w:tr>
    </w:tbl>
    <w:p>
      <w:pPr>
        <w:spacing w:after="120"/>
      </w:pPr>
    </w:p>
    <w:p>
      <w:pPr>
        <w:spacing w:after="140"/>
        <w:jc w:val="both"/>
      </w:pPr>
      <w:r>
        <w:t xml:space="preserve">The combination of both gates beat the criteria with a huge margin: the drawdown −15.7 → </w:t>
      </w:r>
      <w:r>
        <w:rPr>
          <w:b/>
          <w:bCs/>
        </w:rPr>
        <w:t xml:space="preserve">−6.4%</w:t>
      </w:r>
      <w:r>
        <w:t xml:space="preserve"> (we asked for 3 points, got 9.3), while the return </w:t>
      </w:r>
      <w:r>
        <w:rPr>
          <w:b/>
          <w:bCs/>
        </w:rPr>
        <w:t xml:space="preserve">rose</w:t>
      </w:r>
      <w:r>
        <w:t xml:space="preserve">. A bonus we hadn't even prescribed: </w:t>
      </w:r>
      <w:r>
        <w:rPr>
          <w:b/>
          <w:bCs/>
        </w:rPr>
        <w:t xml:space="preserve">positive in all 8 years</w:t>
      </w:r>
      <w:r>
        <w:t xml:space="preserve"> (+18.5 / +1.5 / +8.8 / +10.9 / +13.6 / +7.7 / +15.1 / +6.0) — the only one of ~35 tested variants, including the repaired years 2020 and 2025. The price: it gives up part of the upside in strong years (2022: +13.6 vs +20.4) and trades only ~61% of days (~110 trades/year).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Annual returns of the final configuration — all eight years positive.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The underwater plot: how far below its peak the account ever was. Worst: −6.4%.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Monte Carlo projection one year ahead: 500 scenarios, 87% positive, median +11%.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The cloud of one-year scenarios: return × drawdown.</w:t>
      </w:r>
    </w:p>
    <w:p>
      <w:pPr>
        <w:spacing w:after="140"/>
        <w:jc w:val="both"/>
      </w:pPr>
      <w:r>
        <w:rPr>
          <w:b/>
          <w:bCs/>
        </w:rPr>
        <w:t xml:space="preserve">The long/short decomposition (descriptive):</w:t>
      </w:r>
      <w:r>
        <w:t xml:space="preserve"> long +66%, short +25% — both sides earn, and the short helps exactly in the years the long suffers (2018: short +13.6% while long −2.4%; 2020 short positive). Both sides stay.</w:t>
      </w:r>
    </w:p>
    <w:p>
      <w:pPr>
        <w:pStyle w:val="Heading2"/>
        <w:spacing w:after="120" w:before="280"/>
      </w:pPr>
      <w:r>
        <w:t xml:space="preserve">The final rules (complete, ready to trade)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Market: NQ futures, a 1-minute chart, the 9:30–16:00 New York session.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At 9:30 each morning, two gates: (1) |overnight gap| ≥ the 25th percentile of the last 250 days; (2) yesterday's trendiness |close−open|/(high−low) ≤ the 60th percentile. If either fails → NO TRADING today.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From 9:31: a 1-minute candle closes above VWAP +0.2% → long; below VWAP −0.2% → short. Enter at the next candle's open. First signal of the day only.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Exit: a candle closes beyond the opposite band, or 16:00 — whichever comes first. No take-profit, no reversing.</w:t>
      </w:r>
    </w:p>
    <w:p>
      <w:pPr>
        <w:spacing w:after="140"/>
        <w:jc w:val="both"/>
      </w:pPr>
      <w:r>
        <w:t xml:space="preserve">Realistic expectations: the historical numbers (Sharpe 1.40) are inflated after ~35 tests on the same data. A sober estimate: </w:t>
      </w:r>
      <w:r>
        <w:rPr>
          <w:b/>
          <w:bCs/>
        </w:rPr>
        <w:t xml:space="preserve">Sharpe around 1.0, CAGR in the high single digits, drawdowns in the single digits.</w:t>
      </w:r>
    </w:p>
    <w:p>
      <w:pPr>
        <w:pStyle w:val="Heading1"/>
        <w:spacing w:after="160" w:before="400"/>
      </w:pPr>
      <w:r>
        <w:t xml:space="preserve">21. The indicator v4–v5: the gates on a live chart</w:t>
      </w:r>
    </w:p>
    <w:p>
      <w:pPr>
        <w:spacing w:after="140"/>
        <w:jc w:val="both"/>
      </w:pPr>
      <w:r>
        <w:t xml:space="preserve">The final configuration flowed into the indicator in two steps. </w:t>
      </w:r>
      <w:r>
        <w:rPr>
          <w:b/>
          <w:bCs/>
        </w:rPr>
        <w:t xml:space="preserve">v4</w:t>
      </w:r>
      <w:r>
        <w:t xml:space="preserve"> added the gap gate: a forbidden day shows a red </w:t>
      </w:r>
      <w:r>
        <w:rPr>
          <w:b/>
          <w:bCs/>
        </w:rPr>
        <w:t xml:space="preserve">NO TRADE DAY</w:t>
      </w:r>
      <w:r>
        <w:t xml:space="preserve"> banner in the corner; historical forbidden days get a red label at their 9:30 candle — drawn </w:t>
      </w:r>
      <w:r>
        <w:rPr>
          <w:b/>
          <w:bCs/>
        </w:rPr>
        <w:t xml:space="preserve">retroactively</w:t>
      </w:r>
      <w:r>
        <w:t xml:space="preserve"> (the next morning), so it never clutters the current day; the gate activates after 60 days of chart history. </w:t>
      </w:r>
      <w:r>
        <w:rPr>
          <w:b/>
          <w:bCs/>
        </w:rPr>
        <w:t xml:space="preserve">v5</w:t>
      </w:r>
      <w:r>
        <w:t xml:space="preserve"> added the trend gate, the reason in the banner (gap / trend / gap+trend), a gate-status row in the info panel, an alert for forbidden days — and the default mode switched to "Band" (the final configuration has no TP). Both language versions (CZ/EN) live in the repository.</w:t>
      </w:r>
    </w:p>
    <w:p>
      <w:pPr>
        <w:pStyle w:val="Heading1"/>
        <w:spacing w:after="160" w:before="400"/>
      </w:pPr>
      <w:r>
        <w:t xml:space="preserve">22. The OOS question — and the decision we did NOT make</w:t>
      </w:r>
    </w:p>
    <w:p>
      <w:pPr>
        <w:spacing w:after="140"/>
        <w:jc w:val="both"/>
      </w:pPr>
      <w:r>
        <w:t xml:space="preserve">At the end came the natural question: "can't we run the final version through the OOS data that is available?" The honest analysis: the October 2025 – April 2026 window had already been seen by this strategy family (R3 + robustness), so for the gates it would be "semi-dirty" OOS — weaker evidence, though not worthless. We prepared a complete pre-registration (exactly what would run and how the result would be read: below −8% = red flag; positive and ≥ base = mild support; otherwise uninformative) — and the user decided </w:t>
      </w:r>
      <w:r>
        <w:rPr>
          <w:b/>
          <w:bCs/>
        </w:rPr>
        <w:t xml:space="preserve">not to run the test</w:t>
      </w:r>
      <w:r>
        <w:t xml:space="preserve">. A legitimate, recorded decision: the dirty window would not have settled anything anyway, and clean alternatives exist: (1) </w:t>
      </w:r>
      <w:r>
        <w:rPr>
          <w:b/>
          <w:bCs/>
        </w:rPr>
        <w:t xml:space="preserve">paper trading</w:t>
      </w:r>
      <w:r>
        <w:t xml:space="preserve"> with the indicator — every new day is a clean test; (2) the newest ~3 months of data the platform lacks (April–July 2026), replayed with the local backtester; (3) waiting for time to accumulate. Path 1 plus patience was chosen. The improvement chapter was formally closed.</w:t>
      </w:r>
    </w:p>
    <w:p>
      <w:pPr>
        <w:pStyle w:val="Heading1"/>
        <w:spacing w:after="160" w:before="400"/>
      </w:pPr>
      <w:r>
        <w:t xml:space="preserve">23. Lessons of the whole journey (a summary for our future selves)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Costs decide.</w:t>
      </w:r>
      <w:r>
        <w:t xml:space="preserve"> The paper's 40% CAGR becomes −35% after realistic costs on another market. Test with conservative costs.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Win rate deceives.</w:t>
      </w:r>
      <w:r>
        <w:t xml:space="preserve"> 80% win rate lost; 37% earned. What matters is frequency × size of wins vs. losses.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Let winners run.</w:t>
      </w:r>
      <w:r>
        <w:t xml:space="preserve"> Three independent tests (the TP grid, the TP variant, the TP axis of the 2D map) confirmed: cutting the big wins kills trend-following.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Plateau &gt; peak.</w:t>
      </w:r>
      <w:r>
        <w:t xml:space="preserve"> Trust parameters whose neighbors also work. Deploy the middle of the plateau (hence gap 25, not 20) — a peak is partly luck.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 strong signal ≠ a good rule.</w:t>
      </w:r>
      <w:r>
        <w:t xml:space="preserve"> The strongest signal (fhr, t=3.6) failed as a filter; the inconspicuous gap won. Test everything.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 short OOS proves nothing.</w:t>
      </w:r>
      <w:r>
        <w:t xml:space="preserve"> The bootstrap: a half-year window = a 45/55 coin flip. No strong conclusions, not even positive ones.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Pre-register your criteria.</w:t>
      </w:r>
      <w:r>
        <w:t xml:space="preserve"> Write down "what counts as success" BEFORE the test — the only protection against self-deception. We used it for R3, the TP grid, phases A–E, and the un-run semi-OOS.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Audit the chain of dependencies.</w:t>
      </w:r>
      <w:r>
        <w:t xml:space="preserve"> Phase D existed only because we remembered the 10:00 base was suspicious. An improvement is only as good as its weakest assumption.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Admit the technical constraints.</w:t>
      </w:r>
      <w:r>
        <w:t xml:space="preserve"> One node, manual clicks, the series limit, data ending April 2026 — all shaped the experiments and belong in the record.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Close your chapters.</w:t>
      </w:r>
      <w:r>
        <w:t xml:space="preserve"> Every additional test on the same data raises the overfitting risk. At some point say enough and let reality decide.</w:t>
      </w:r>
    </w:p>
    <w:p>
      <w:pPr>
        <w:pStyle w:val="Heading1"/>
        <w:spacing w:after="160" w:before="400"/>
      </w:pPr>
      <w:r>
        <w:t xml:space="preserve">Appendix A: all the QuantConnect runs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project (ID)</w:t>
            </w:r>
          </w:p>
        </w:tc>
        <w:tc>
          <w:tcPr>
            <w:tcW w:type="dxa" w:w="312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purpose</w:t>
            </w:r>
          </w:p>
        </w:tc>
        <w:tc>
          <w:tcPr>
            <w:tcW w:type="dxa" w:w="3120"/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key result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vwap_trend (34170904)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R1 replication, R2 translation, TP grid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QQQ PASS; SPY/ES FAIL; TP monotonically hurts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vwap_trend_1td (34240773)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one trade/day, band vs TP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+89% vs +21%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vwap_trend_robust (34242424)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fan + cloud + yearly heatmap + OOS line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OOS +1.29% (30th pct); band 20 = peak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vwap_trend_grid2d (34243168)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2D map band × TP, 96 cells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plateau, all positive, TP gradient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vwap_trend_improve (34266528)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Phase A: 12 variants + conditions (2 runs due to series limit)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 noise, H2 inconsistent; fhr t=3.6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vwap_trend_improveB (34266984)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Phase B: fhr/gap/pt gates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fhr FAIL; gap20 +141%; pt60 MDD −7.5%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vwap_trend_improveC (34267097)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Phase C: gap threshold sweep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plateau 15–30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vwap_trend_improveD (34267284)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Phase D: entry independence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 modest on 9:31 (+0.8 CAGR, Sharpe 1.05)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vwap_trend_improveE (34267822)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Phase E: closing run + L/S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FINAL: Sharpe 1.40, MDD −6.4%, 8/8 years</w:t>
            </w:r>
          </w:p>
        </w:tc>
      </w:tr>
    </w:tbl>
    <w:p>
      <w:pPr>
        <w:spacing w:after="120"/>
      </w:pPr>
    </w:p>
    <w:p>
      <w:pPr>
        <w:spacing w:after="140"/>
        <w:jc w:val="both"/>
      </w:pPr>
      <w:r>
        <w:t xml:space="preserve">All the code, the playbooks, the figures, and this document live in the Strong-Chicken-Journal git repository. The VWAP Trend research chapter is closed; paper trading continues.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40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9c85850e029df2ca6d2b033dcc7c2f5032aa6c9.png"/><Relationship Id="rId8" Type="http://schemas.openxmlformats.org/officeDocument/2006/relationships/image" Target="media/f42a2e4bebe695510cca0fd79be841fd65938502.png"/><Relationship Id="rId9" Type="http://schemas.openxmlformats.org/officeDocument/2006/relationships/image" Target="media/b8e9ebfb6a6bd9c8e4a76434eddbffb1143afa11.png"/><Relationship Id="rId10" Type="http://schemas.openxmlformats.org/officeDocument/2006/relationships/image" Target="media/21484eba37a3c05f8772f83ac8fa965cef139eb2.png"/><Relationship Id="rId11" Type="http://schemas.openxmlformats.org/officeDocument/2006/relationships/image" Target="media/c423afb7b92281069f776e7fe7a6fcf17617d42b.png"/><Relationship Id="rId12" Type="http://schemas.openxmlformats.org/officeDocument/2006/relationships/image" Target="media/30e6d9ac01db8b8a1f523a83110caf6ec99c47a7.png"/><Relationship Id="rId13" Type="http://schemas.openxmlformats.org/officeDocument/2006/relationships/image" Target="media/1cbd461f49cdb1f4509d0ef64762e893fa54494a.png"/><Relationship Id="rId14" Type="http://schemas.openxmlformats.org/officeDocument/2006/relationships/image" Target="media/9cd9ee589273e6d5e4409804268f059a2dc9299f.png"/><Relationship Id="rId15" Type="http://schemas.openxmlformats.org/officeDocument/2006/relationships/image" Target="media/c297d0d5cdd0666401bf2ba5906b4851e8bf0e9c.png"/><Relationship Id="rId16" Type="http://schemas.openxmlformats.org/officeDocument/2006/relationships/image" Target="media/e45d3992ebd2d5ff28364517270ebb05370c0e7a.png"/><Relationship Id="rId17" Type="http://schemas.openxmlformats.org/officeDocument/2006/relationships/image" Target="media/029ca48acc251738f2a7403942a849f3a368d022.png"/><Relationship Id="rId18" Type="http://schemas.openxmlformats.org/officeDocument/2006/relationships/image" Target="media/097c304f1b17d3aa7145e8a4931675c684325e07.png"/><Relationship Id="rId19" Type="http://schemas.openxmlformats.org/officeDocument/2006/relationships/image" Target="media/68debd8a3effef81b5a6e82d9275890966bae7c6.png"/><Relationship Id="rId20" Type="http://schemas.openxmlformats.org/officeDocument/2006/relationships/image" Target="media/b7d7c9cd9593a3dcedec54af11c2e6c792b59bec.png"/><Relationship Id="rId21" Type="http://schemas.openxmlformats.org/officeDocument/2006/relationships/image" Target="media/b3ae213dc59c7cc689ad6495d9768f42037a8a7b.png"/><Relationship Id="rId22" Type="http://schemas.openxmlformats.org/officeDocument/2006/relationships/image" Target="media/de65363a54be3a76c2fd9c15769615bdc1046596.png"/><Relationship Id="rId23" Type="http://schemas.openxmlformats.org/officeDocument/2006/relationships/image" Target="media/9df357f940f1ac3d68146aeb0547ee9c7a310bd3.png"/><Relationship Id="rId24" Type="http://schemas.openxmlformats.org/officeDocument/2006/relationships/image" Target="media/51830b50d2dc38f87cce4177269f735dfdd2b071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2026-07-18T22:23:11.222Z</dcterms:created>
  <dcterms:modified xsi:type="dcterms:W3CDTF">2026-07-18T22:23:11.223Z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