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5.jpg" ContentType="image/jpeg"/>
  <Override PartName="/word/media/rId48.jpg" ContentType="image/jpeg"/>
  <Override PartName="/word/media/rId54.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Dr. Ramiro José Espinheira Martins</w:t>
      </w:r>
      <w:r>
        <w:br/>
      </w:r>
      <w:r>
        <w:rPr>
          <w:b/>
          <w:bCs/>
        </w:rPr>
        <w:t xml:space="preserve">Dr. 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growing generation of food waste and the surplus of crude glycerol from biodiesel production represent two significant organic waste streams requiring sustainable management solutions. This study evaluated the technical feasibility of a single-stage anaerobic co-digestion system treating food waste and glycerol as co-substrates, with the objective of verifing biogas production while providing a valorisation route for crude glycerol. The investigation was conducted in a 1 L continuous stirred-tank reactor operated under mesophilic conditions (35 °C) with a hydraulic retention time of 30 days. Food waste was collected from a university canteen, and crude glycerol was obtained from biodiesel production residues; anaerobic sludge from a municipal wastewater treatment plant served as inoculum. The reactor was operated in sequential phases: an initial adaptation period, co-digestion of food waste and glycerol, glycerol only feeding, and a post-eeding period. Biogas production was monitored continuously using an automatic methane potential test system, while process stability was assessed through measurements of pH, total alkalinity, volatile fatty acids, and their ratio. Substrate characterisation included total solids, volatile solids, density, total carbon, and total nitrogen analyses. Results demonstrated that co-digestion of food waste and glycerol yielded the highest methane production rates and cumulative volumes, with flow spikes immediately following feeding events indicating rapid substrate conversion. In contrast, glycerol-only feeding resulted in reduced biogas production despite continued methanogenic activity. Total alkalinity remained elevated following bicarbonate supplementation, maintaining pH around 7 throughout most of the experiment; volatile fatty acid concentrations fluctuated between 3000–5000 mg CH3COOH/L, with VFA/alkalinity ratios of 0.3–1.2. These findings confirm the hypothesis that glycerol can be useful for biogas production when co-digested with food waste or alone. The study demonstrates the technical viability of anaerobic co-digestion as a strategy for valorising crude glycerol within a circular bioeconomy framework, though further research is needed to optimise glycerol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resíduos alimentares e o excedente de glicerol bruto proveniente da produção de biodiesel representam duas produções significativas de resíduos orgânicos que requerem soluções sustentáveis. Este estudo avaliou a viabilidade técnica de um sistema de codigestão anaeróbia de uma única etapa, tratando resíduos alimentares e glicerol como co-substratos, com o objetivo de verificar a produção de biogás e, simultaneamente, proporcionar uma via de valorização para o glicerol bruto. A investigação foi conduzida num reator contínuo de tanque agitado de 1 L, operado em condições mesofílicas (35 °C), com um tempo de retenção hidráulica de 30 dias. Os resíduos alimentares foram recolhidos numa cantina universitária e o glicerol bruto foi obtido a partir de resíduos da produção de biodiesel; lamas anaeróbias de uma estação de tratamento de águas residuais municipais serviram como inóculo. O reator foi operado em fases sequenciais: um período inicial de adaptação, codigestão de resíduos alimentares e glicerol, alimentação exclusiva com glicerol e um período pós-alimentação. A produção de biogás foi monitorizada continuamente através de um</w:t>
      </w:r>
      <w:r>
        <w:t xml:space="preserve"> </w:t>
      </w:r>
      <w:r>
        <w:rPr>
          <w:i/>
          <w:iCs/>
        </w:rPr>
        <w:t xml:space="preserve">automatic methane potential test system</w:t>
      </w:r>
      <w:r>
        <w:t xml:space="preserve">, enquanto a estabilidade do processo foi avaliada por medições de pH, alcalinidade total, ácidos graxos voláteis e respectiva razão. A caracterização dos substratos incluiu análises de sólidos totais, sólidos voláteis, massa volúmica, carbono total e nitrogênio total. Os resultados demonstraram que a codigestão de resíduos alimentares e glicerol originou as taxas de produção de metano e os volumes acumulados mais elevados, com picos imediatamente após as alimentações, indicando uma rápida conversão do substrato. Em contraste, a alimentação exclusiva com glicerol resultou numa produção reduzida de biogás, apesar da atividade metanogénica continuada. A alcalinidade total manteve-se elevada após a suplementação com bicarbonato, mantendo o pH em torno de 7 durante a maior parte da experiência; as concentrações de ácidos graxos voláteis flutuaram entre 3000–5000 mg CH3COOH/L, com razões AGV/alcalinidade de 0,3–1,2. Estes resultados confirmam a hipótese de que o glicerol pode ser útil para a produção de biogás quando codigerido com resíduos alimentares ou isoladamente. O estudo demonstra a viabilidade técnica da codigestão anaeróbia como estratégia de valorização do glicerol bruto no âmbito de uma bioeconomia circular, embora seja necessária investigação adicional para otimizar as cargas de glicerol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Mt/yr, excluding inedible parts removed from the supply chain</w:t>
      </w:r>
      <w:r>
        <w:t xml:space="preserve"> </w:t>
      </w:r>
      <w:r>
        <w:t xml:space="preserve">(Scherhaufer et al., 2018)</w:t>
      </w:r>
      <w:r>
        <w:t xml:space="preserve">. When considering only post-processing activities (wholesale, retail, food service and households) approximately 66.3 Mt of FW are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roughly 15–16</w:t>
      </w:r>
    </w:p>
    <w:p>
      <w:pPr>
        <w:pStyle w:val="BodyText"/>
      </w:pPr>
      <w:r>
        <w:t xml:space="preserve">Parallel to the FW challenge, the rapid expansion of biodiesel production has generated an excess of another organic by-product: C-GL. Formed in the transesterification of triglycerides, approximately 10 kg of C-GL are produced for every 100 kg of biodiesel</w:t>
      </w:r>
      <w:r>
        <w:t xml:space="preserve"> </w:t>
      </w:r>
      <w:r>
        <w:t xml:space="preserve">(Garlapati et al., 2016)</w:t>
      </w:r>
      <w:r>
        <w:t xml:space="preserve">. Global biodiesel output, driven by renewable energy mandates, has caused the GL market to swell with C-GL supply projected to reach about 6.33 Mt by 2025, of which nearly 680 kt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but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 nutrients, and fosters synergistic microbial interactions</w:t>
      </w:r>
      <w:r>
        <w:t xml:space="preserve"> </w:t>
      </w:r>
      <w:r>
        <w:t xml:space="preserve">(Gebreegziabher et al., 2025; Tomczak et al., 2025)</w:t>
      </w:r>
      <w:r>
        <w:t xml:space="preserve">. The result can be a dramatic improvement in biogas and CH4 yield: studies report increases ranging from 14–226</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dissertation project is to evaluate the efficiency of a single-stage anaerobic co-digestion system using organic FW and C-GL as substrates. The investigation will be conducted by determining biogas production, with a focus on industrial feasibility.</w:t>
      </w:r>
    </w:p>
    <w:p>
      <w:pPr>
        <w:pStyle w:val="BodyText"/>
      </w:pPr>
      <w:r>
        <w:t xml:space="preserve">The central hypothesis is that the controlled addition of C-GL, a by-product of the biodiesel industry, helps biogas production due to its high energy content and rapid biodegradability,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evaluating physicochemical parameters relevant to anaerobic digestion.</w:t>
      </w:r>
    </w:p>
    <w:p>
      <w:pPr>
        <w:numPr>
          <w:ilvl w:val="0"/>
          <w:numId w:val="1001"/>
        </w:numPr>
      </w:pPr>
      <w:r>
        <w:t xml:space="preserve">Operate the single-stage anaerobic co-digestion system, assessing process stability.</w:t>
      </w:r>
    </w:p>
    <w:p>
      <w:pPr>
        <w:numPr>
          <w:ilvl w:val="0"/>
          <w:numId w:val="1001"/>
        </w:numPr>
      </w:pPr>
      <w:r>
        <w:t xml:space="preserve">Evaluate the techno-economic feasibility of using C-GL as a co-substrate, considering potential for industrial application.</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output, this Fig. 3.1 shows the steps to produce biodiesel and when GL is producesd</w:t>
      </w:r>
      <w:r>
        <w:t xml:space="preserve"> </w:t>
      </w:r>
      <w:r>
        <w:t xml:space="preserve">(Garlapati et al., 2016)</w:t>
      </w:r>
      <w:r>
        <w:t xml:space="preserve">. This waste stream, loaded with impurities such as methanol, soaps, and hydroxides, the Fig. 3.2 shows the processes and what they contaminate the GL with, poses environmental disposal challenges, also with the variation of impurities depending on the source, there’s no standard method to use this source of carbon</w:t>
      </w:r>
      <w:r>
        <w:t xml:space="preserve"> </w:t>
      </w:r>
      <w:r>
        <w:t xml:space="preserve">(Anand &amp; Saxena, 2012; Gebreegziabher et al., 2025)</w:t>
      </w:r>
      <w:r>
        <w:t xml:space="preserve">. Anaerobic digestion aligns with circular economy principles by converting organic residues into biogas while recycling nutrients,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w:t>
      </w:r>
    </w:p>
    <w:tbl>
      <w:tblPr>
        <w:tblStyle w:val="FigureTable"/>
        <w:tblW w:type="auto" w:w="0"/>
        <w:jc w:val="center"/>
        <w:tblLook w:firstRow="0" w:lastRow="0" w:firstColumn="0" w:lastColumn="0"/>
      </w:tblPr>
      <w:tblGrid/>
    </w:tbl>
    <w:p>
      <w:pPr>
        <w:pStyle w:val="ImageCaption"/>
      </w:pPr>
      <w:r>
        <w:t xml:space="preserve">CH4 production from AD (Adapted from:</w:t>
      </w:r>
      <w:r>
        <w:t xml:space="preserve"> </w:t>
      </w:r>
      <w:r>
        <w:t xml:space="preserve">Li et al. (2011)</w:t>
      </w:r>
      <w:r>
        <w:t xml:space="preserve">)</w:t>
      </w:r>
    </w:p>
    <w:p>
      <w:pPr>
        <w:pStyle w:val="BodyText"/>
      </w:pPr>
      <w:r>
        <w:t xml:space="preserve">Liquid AD, typically conducted in a CSTR, operates at total solid concentrations of 0.5–15</w:t>
      </w:r>
    </w:p>
    <w:p>
      <w:pPr>
        <w:pStyle w:val="BodyText"/>
      </w:pPr>
      <w:r>
        <w:t xml:space="preserve">The selection of a robust microbial inoculum is decisive for rapid start-up and stable performance of a CSTR fed with GL. Anaerobic sludge from municipal WWTPs is the most common source of inoculum because it harbours a diverse consortium of hydrolytic, acidogenic, and methanogenic microorganisms, the flow cahrd from</w:t>
      </w:r>
      <w:r>
        <w:t xml:space="preserve"> </w:t>
      </w:r>
      <w:r>
        <w:t xml:space="preserve">Gebreegziabher et al. (2025)</w:t>
      </w:r>
      <w:r>
        <w:t xml:space="preserve"> </w:t>
      </w:r>
      <w:r>
        <w:t xml:space="preserve">on the Fig. 3.4 shows each step of the AD until the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CH4 from AD (Adapted from:</w:t>
      </w:r>
      <w:r>
        <w:t xml:space="preserve"> </w:t>
      </w:r>
      <w:r>
        <w:t xml:space="preserve">Gebreegziabher et al. (2025)</w:t>
      </w:r>
      <w:r>
        <w:t xml:space="preserve">)</w:t>
      </w:r>
    </w:p>
    <w:p>
      <w:pPr>
        <w:pStyle w:val="BodyText"/>
      </w:pPr>
      <w:r>
        <w:t xml:space="preserve">When GL starts being degraded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Using the method from DiLallo &amp; Albertson</w:t>
      </w:r>
      <w:r>
        <w:t xml:space="preserve"> </w:t>
      </w:r>
      <w:r>
        <w:t xml:space="preserve">(Ribas et al., 2007)</w:t>
      </w:r>
      <w:r>
        <w:t xml:space="preserve"> </w:t>
      </w:r>
      <w:r>
        <w:t xml:space="preserve">provide a validated method for measuring VFAs and Alk. Maintaining a favourable vfa/alk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 To unlock the full benefits while avoiding inhibition, the GL loading must be kept below documented thresholds, and the reactor state should be continuously tracked through standard measurements of VFAs and Alk. Further research is needed to optimise thermophilic CSTR operation and to establish long-term performance data for granular-sludge-inoculated reactors treating C-GL.</w:t>
      </w:r>
    </w:p>
    <w:bookmarkEnd w:id="22"/>
    <w:bookmarkStart w:id="44"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the IPB, prioritizing residues with high proportions of rice, pasta, and bread to maximize the sugar content and minimize the nitrogen content. The waste was diluted with approximately 2.5 L of distilled water and homogenised using a blender to obtain a liquid paste.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provided for this study. C-GL from biodiesel typically contains impurities such as catalyst residues</w:t>
      </w:r>
      <w:r>
        <w:t xml:space="preserve"> </w:t>
      </w:r>
      <w:r>
        <w:t xml:space="preserve">(Attarbachi et al., 2023)</w:t>
      </w:r>
      <w:r>
        <w:t xml:space="preserve">, which may influence its behaviour in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 anaerobic digestor from Águas do Norte wastewater treatment plant in Bragança. This ensured the availability of a microbial population for the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The TS, VS, FS, and density were determined for the FW, C-GL, and inoculum. Total organic carbon and TN were determined for the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Total solids and Volatile solids were measured using a sequential gravimetric method based on Standard Methods 2540 B and 2540 E</w:t>
      </w:r>
      <w:r>
        <w:t xml:space="preserve"> </w:t>
      </w:r>
      <w:r>
        <w:t xml:space="preserve">(Lipps et al., 2023)</w:t>
      </w:r>
      <w:r>
        <w:t xml:space="preserve">. The method involves controlled drying and calcination steps to quantify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The crucibles were then dried in an oven at 105 °C for 2 h (C-GL required 6–8 h to reach constant mass). After drying, the crucibles were cooled in a desiccator to room temperature and weighed again to determine TS.</w:t>
      </w:r>
    </w:p>
    <w:p>
      <w:pPr>
        <w:pStyle w:val="BodyText"/>
      </w:pPr>
      <w:r>
        <w:t xml:space="preserve">The same crucibles were subsequently placed in a muffle furnace at 550 °C for 50 min. Afterwards they were transferred to an oven at 105 °C for 15 min and then moved to a desiccator until they reached room temperature; the final masses were recorded to calculate VS.</w:t>
      </w:r>
    </w:p>
    <w:p>
      <w:pPr>
        <w:pStyle w:val="BodyText"/>
      </w:pPr>
      <w:r>
        <w:t xml:space="preserve">Total solids, Volatile solids and Fixed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F</m:t>
          </m:r>
          <m:r>
            <m:rPr>
              <m:sty m:val="p"/>
            </m:rPr>
            <m:t>S</m:t>
          </m:r>
          <m:r>
            <m:rPr>
              <m:sty m:val="p"/>
            </m:rPr>
            <m:t>=</m:t>
          </m:r>
          <m:f>
            <m:fPr>
              <m:type m:val="bar"/>
            </m:fPr>
            <m:num>
              <m:sSub>
                <m:e>
                  <m:r>
                    <m:t>M</m:t>
                  </m:r>
                </m:e>
                <m:sub>
                  <m:r>
                    <m:t>550</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weight is in g. The results are on the Table 4.1.</w:t>
      </w:r>
    </w:p>
    <w:tbl>
      <w:tblPr>
        <w:tblStyle w:val="Table"/>
        <w:tblW w:type="auto" w:w="0"/>
        <w:tblLook w:firstRow="0" w:lastRow="0" w:firstColumn="0" w:lastColumn="0" w:noHBand="0" w:noVBand="0" w:val="0000"/>
      </w:tblPr>
      <w:tblGrid>
        <w:gridCol w:w="660"/>
        <w:gridCol w:w="660"/>
        <w:gridCol w:w="660"/>
        <w:gridCol w:w="660"/>
        <w:gridCol w:w="660"/>
        <w:gridCol w:w="660"/>
        <w:gridCol w:w="660"/>
        <w:gridCol w:w="660"/>
        <w:gridCol w:w="660"/>
        <w:gridCol w:w="660"/>
        <w:gridCol w:w="660"/>
        <w:gridCol w:w="660"/>
      </w:tblGrid>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12"/>
          </w:tcPr>
          <w:p>
            <w:pPr>
              <w:pStyle w:val="Compact"/>
              <w:jc w:val="left"/>
            </w:pPr>
            <w:r>
              <w:rPr>
                <w:i/>
                <w:iCs/>
              </w:rPr>
              <w:t xml:space="preserve">Table 4.1 continued</w:t>
            </w:r>
          </w:p>
        </w:tc>
      </w:tr>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by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messured in g and the volume in L. The results are on the Table 4.2.</w:t>
      </w:r>
    </w:p>
    <w:tbl>
      <w:tblPr>
        <w:tblStyle w:val="Table"/>
        <w:tblW w:type="auto" w:w="0"/>
        <w:tblLook w:firstRow="0" w:lastRow="0" w:firstColumn="0" w:lastColumn="0" w:noHBand="0" w:noVBand="0" w:val="0000"/>
      </w:tblPr>
      <w:tblGrid>
        <w:gridCol w:w="1131"/>
        <w:gridCol w:w="1131"/>
        <w:gridCol w:w="1131"/>
        <w:gridCol w:w="1131"/>
        <w:gridCol w:w="1131"/>
        <w:gridCol w:w="1131"/>
        <w:gridCol w:w="1131"/>
      </w:tblGrid>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7"/>
          </w:tcPr>
          <w:p>
            <w:pPr>
              <w:pStyle w:val="Compact"/>
              <w:jc w:val="left"/>
            </w:pPr>
            <w:r>
              <w:rPr>
                <w:i/>
                <w:iCs/>
              </w:rPr>
              <w:t xml:space="preserve">Table 4.2 continued</w:t>
            </w:r>
          </w:p>
        </w:tc>
      </w:tr>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toc-and-tn-determination"/>
    <w:p>
      <w:pPr>
        <w:pStyle w:val="Heading3"/>
      </w:pPr>
      <w:r>
        <w:rPr>
          <w:rStyle w:val="SectionNumber"/>
        </w:rPr>
        <w:t xml:space="preserve">4.4.3</w:t>
      </w:r>
      <w:r>
        <w:tab/>
      </w:r>
      <w:r>
        <w:t xml:space="preserve">TOC and TN Determination</w:t>
      </w:r>
    </w:p>
    <w:p>
      <w:pPr>
        <w:pStyle w:val="FirstParagraph"/>
      </w:pPr>
      <w:r>
        <w:t xml:space="preserve">Total organic carbon, TC and TN were measured using a Shimadzu TOC-5000A analyser. Prior to analysis, the FW was diluted 400 X and the C-GL was diluted 800 X to bring the concentrations within the linear range of the instrument. The results are on the Table 4.3.</w:t>
      </w:r>
    </w:p>
    <w:tbl>
      <w:tblPr>
        <w:tblStyle w:val="Table"/>
        <w:tblW w:type="auto" w:w="0"/>
        <w:tblLook w:firstRow="0" w:lastRow="0" w:firstColumn="0" w:lastColumn="0" w:noHBand="0" w:noVBand="0" w:val="0000"/>
      </w:tblPr>
      <w:tblGrid>
        <w:gridCol w:w="1131"/>
        <w:gridCol w:w="1131"/>
        <w:gridCol w:w="1131"/>
        <w:gridCol w:w="1131"/>
        <w:gridCol w:w="1131"/>
        <w:gridCol w:w="1131"/>
        <w:gridCol w:w="1131"/>
      </w:tblGrid>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7"/>
          </w:tcPr>
          <w:p>
            <w:pPr>
              <w:pStyle w:val="Compact"/>
              <w:jc w:val="left"/>
            </w:pPr>
            <w:r>
              <w:rPr>
                <w:i/>
                <w:iCs/>
              </w:rPr>
              <w:t xml:space="preserve">Table 4.3 continued</w:t>
            </w:r>
          </w:p>
        </w:tc>
      </w:tr>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3" w:name="experiment-configuration"/>
    <w:p>
      <w:pPr>
        <w:pStyle w:val="Heading2"/>
      </w:pPr>
      <w:r>
        <w:rPr>
          <w:rStyle w:val="SectionNumber"/>
        </w:rPr>
        <w:t xml:space="preserve">4.5</w:t>
      </w:r>
      <w:r>
        <w:tab/>
      </w:r>
      <w:r>
        <w:t xml:space="preserve">Experiment Configuration</w:t>
      </w:r>
    </w:p>
    <w:p>
      <w:pPr>
        <w:pStyle w:val="FirstParagraph"/>
      </w:pPr>
      <w:r>
        <w:t xml:space="preserve">The reactor had a useful volume of 1 L and was operated as a CSTR under anaerobic conditions. Mixing was provided by a magnetic stir bar, and the overflow exit tube was kept closed with a valve to maintain an anaerobic environment. As you can see in this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kept at 35 °C, close to the optimal temperature for mesophilic microorganisms</w:t>
      </w:r>
      <w:r>
        <w:t xml:space="preserve"> </w:t>
      </w:r>
      <w:r>
        <w:t xml:space="preserve">(Choorit, 2007)</w:t>
      </w:r>
      <w:r>
        <w:t xml:space="preserve">. The OLR was set with a max of 4 kg VS/m³/d, with a HRT of 30 days, conditions for stable co-digestion of FW and GL</w:t>
      </w:r>
      <w:r>
        <w:t xml:space="preserve"> </w:t>
      </w:r>
      <w:r>
        <w:t xml:space="preserve">(Tomczak et al., 2025)</w:t>
      </w:r>
      <w:r>
        <w:t xml:space="preserve">. The pH was maintained around 7 by incorporating KHCO3 into the feed solution at a concentration of 10 g/L, and adding KHCO3 to the reactor whenever the pH dropped lower than 6.</w:t>
      </w:r>
    </w:p>
    <w:p>
      <w:pPr>
        <w:pStyle w:val="BodyText"/>
      </w:pPr>
      <w:r>
        <w:t xml:space="preserve">The OLR and HRT:</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(kg/m³),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of them together. Therefore, P-GL was used as an additive to allow precise control of the C/N.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w:t>
      </w:r>
    </w:p>
    <w:p>
      <w:pPr>
        <w:pStyle w:val="BodyText"/>
      </w:pPr>
      <w:r>
        <w:t xml:space="preserve">The feed was also suplemented with nutrients to complement the feed and create a better feed for the microorganisms. Table 4.4 shows the nutrients used and there ratios.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gridSpan w:val="2"/>
          </w:tcPr>
          <w:p>
            <w:pPr>
              <w:pStyle w:val="Compact"/>
              <w:jc w:val="left"/>
            </w:pPr>
            <w:r>
              <w:rPr>
                <w:i/>
                <w:iCs/>
              </w:rPr>
              <w:t xml:space="preserve">Table 4.4 continued</w:t>
            </w:r>
          </w:p>
        </w:tc>
      </w:tr>
      <w:tr>
        <w:tc>
          <w:tcPr/>
          <w:p>
            <w:pPr>
              <w:pStyle w:val="Compact"/>
            </w:pPr>
          </w:p>
        </w:tc>
        <w:tc>
          <w:tcPr/>
          <w:p>
            <w:pPr>
              <w:pStyle w:val="Compact"/>
            </w:pPr>
          </w:p>
        </w:tc>
      </w:tr>
      <w:tr>
        <w:tc>
          <w:tcPr/>
          <w:p>
            <w:pPr>
              <w:pStyle w:val="Compact"/>
              <w:jc w:val="left"/>
            </w:pPr>
            <w:r>
              <w:t xml:space="preserve">Nutrients</w:t>
            </w:r>
          </w:p>
        </w:tc>
        <w:tc>
          <w:tcPr/>
          <w:p>
            <w:pPr>
              <w:pStyle w:val="Compact"/>
              <w:jc w:val="left"/>
            </w:pPr>
            <w:r>
              <w:t xml:space="preserve">Mass (mg/L)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quantification"/>
    <w:p>
      <w:pPr>
        <w:pStyle w:val="Heading3"/>
      </w:pPr>
      <w:r>
        <w:rPr>
          <w:rStyle w:val="SectionNumber"/>
        </w:rPr>
        <w:t xml:space="preserve">4.5.2</w:t>
      </w:r>
      <w:r>
        <w:tab/>
      </w:r>
      <w:r>
        <w:t xml:space="preserve">Biogas Quantification</w:t>
      </w:r>
    </w:p>
    <w:p>
      <w:pPr>
        <w:pStyle w:val="FirstParagraph"/>
      </w:pPr>
      <w:r>
        <w:t xml:space="preserve">The AMPTS II system (hardware Fig. 4.2, software Fig. 4.3), was provided to meassure the gas flow that was comming out of the reactor, with a CO2 fixing unit using a solution of 3 MNa OH.</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AMPTS II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AMPTS II CO2 trap</w:t>
            </w:r>
          </w:p>
        </w:tc>
      </w:tr>
    </w:tbl>
    <w:p>
      <w:pPr>
        <w:pStyle w:val="ImageCaption"/>
      </w:pPr>
      <w:r>
        <w:t xml:space="preserve">AMPTS II hardware used</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AMPTS II software used</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It was used the method of DiLallo &amp; Albertson</w:t>
      </w:r>
      <w:r>
        <w:t xml:space="preserve"> </w:t>
      </w:r>
      <w:r>
        <w:t xml:space="preserve">(Ribas et al., 2007)</w:t>
      </w:r>
      <w:r>
        <w:t xml:space="preserve">, to measure the Alk and VFA. The sample collected was first centrifuged, at 2604 G for 30 min, to filter the particulated before doing the measurements.</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p>
      <w:pPr>
        <w:pStyle w:val="FirstParagraph"/>
      </w:pPr>
      <w:r>
        <w:t xml:space="preserve">The volumes were measured in m L, the sample volume was always 50 m L, the normality (N) of the acid and base, at first was 0.1, but then it was changed to 1. The Eq. 4.7 is expressed in mg Ca CO3/L, and the Eq. 4.8 is expressed in mg CH3COOH/L.</w:t>
      </w:r>
    </w:p>
    <w:bookmarkEnd w:id="41"/>
    <w:bookmarkStart w:id="42" w:name="subestrate-used-as-feed"/>
    <w:p>
      <w:pPr>
        <w:pStyle w:val="Heading3"/>
      </w:pPr>
      <w:r>
        <w:rPr>
          <w:rStyle w:val="SectionNumber"/>
        </w:rPr>
        <w:t xml:space="preserve">4.5.4</w:t>
      </w:r>
      <w:r>
        <w:tab/>
      </w:r>
      <w:r>
        <w:t xml:space="preserve">Subestrate used as feed</w:t>
      </w:r>
    </w:p>
    <w:p>
      <w:pPr>
        <w:pStyle w:val="FirstParagraph"/>
      </w:pPr>
      <w:r>
        <w:t xml:space="preserve">Table 4.5 shows all substrates used to feed the reactor and when they were made.</w:t>
      </w:r>
    </w:p>
    <w:tbl>
      <w:tblPr>
        <w:tblStyle w:val="Table"/>
        <w:tblW w:type="auto" w:w="0"/>
        <w:tblLook w:firstRow="0" w:lastRow="0" w:firstColumn="0" w:lastColumn="0" w:noHBand="0" w:noVBand="0" w:val="0000"/>
      </w:tblPr>
      <w:tblGrid>
        <w:gridCol w:w="1131"/>
        <w:gridCol w:w="1131"/>
        <w:gridCol w:w="1131"/>
        <w:gridCol w:w="1131"/>
        <w:gridCol w:w="1131"/>
        <w:gridCol w:w="1131"/>
        <w:gridCol w:w="1131"/>
      </w:tblGrid>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Addition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&amp; 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pPr>
            <w:r>
              <w:rPr>
                <w:i/>
                <w:iCs/>
              </w:rPr>
              <w:t xml:space="preserve">Table 4.5 continued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Addition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&amp; 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0(a)</w:t>
            </w:r>
          </w:p>
        </w:tc>
        <w:tc>
          <w:tcPr/>
          <w:p>
            <w:pPr>
              <w:pStyle w:val="Compact"/>
              <w:jc w:val="left"/>
            </w:pPr>
            <w:r>
              <w:t xml:space="preserve">FW, 156 g</w:t>
            </w:r>
          </w:p>
        </w:tc>
        <w:tc>
          <w:tcPr/>
          <w:p>
            <w:pPr>
              <w:pStyle w:val="Compact"/>
              <w:jc w:val="left"/>
            </w:pPr>
            <w:r>
              <w:t xml:space="preserve">C6H12O6, 1.9 g</w:t>
            </w:r>
          </w:p>
        </w:tc>
        <w:tc>
          <w:tcPr/>
          <w:p>
            <w:pPr>
              <w:pStyle w:val="Compact"/>
            </w:pPr>
          </w:p>
        </w:tc>
        <w:tc>
          <w:tcPr/>
          <w:p>
            <w:pPr>
              <w:pStyle w:val="Compact"/>
              <w:jc w:val="left"/>
            </w:pPr>
            <w:r>
              <w:t xml:space="preserve">Ca(HCO3)2, 5 g</w:t>
            </w:r>
          </w:p>
        </w:tc>
        <w:tc>
          <w:tcPr/>
          <w:p>
            <w:pPr>
              <w:pStyle w:val="Compact"/>
              <w:jc w:val="left"/>
            </w:pPr>
            <w:r>
              <w:t xml:space="preserve">1.5 &amp; 15</w:t>
            </w:r>
          </w:p>
        </w:tc>
        <w:tc>
          <w:tcPr/>
          <w:p>
            <w:pPr>
              <w:pStyle w:val="Compact"/>
              <w:jc w:val="left"/>
            </w:pPr>
            <w:r>
              <w:t xml:space="preserve">500 m L</w:t>
            </w:r>
          </w:p>
        </w:tc>
      </w:tr>
      <w:tr>
        <w:tc>
          <w:tcPr/>
          <w:p>
            <w:pPr>
              <w:pStyle w:val="Compact"/>
              <w:jc w:val="left"/>
            </w:pPr>
            <w:r>
              <w:t xml:space="preserve">4</w:t>
            </w:r>
          </w:p>
        </w:tc>
        <w:tc>
          <w:tcPr/>
          <w:p>
            <w:pPr>
              <w:pStyle w:val="Compact"/>
              <w:jc w:val="left"/>
            </w:pPr>
            <w:r>
              <w:t xml:space="preserve">C-GL, 23.2 m L</w:t>
            </w:r>
          </w:p>
        </w:tc>
        <w:tc>
          <w:tcPr/>
          <w:p>
            <w:pPr>
              <w:pStyle w:val="Compact"/>
              <w:jc w:val="left"/>
            </w:pPr>
            <w:r>
              <w:t xml:space="preserve">P-GL(b), 31.5 m L</w:t>
            </w:r>
          </w:p>
        </w:tc>
        <w:tc>
          <w:tcPr/>
          <w:p>
            <w:pPr>
              <w:pStyle w:val="Compact"/>
            </w:pPr>
          </w:p>
        </w:tc>
        <w:tc>
          <w:tcPr/>
          <w:p>
            <w:pPr>
              <w:pStyle w:val="Compact"/>
              <w:jc w:val="left"/>
            </w:pPr>
            <w:r>
              <w:t xml:space="preserve">KHCO3, 1.9 g</w:t>
            </w:r>
          </w:p>
        </w:tc>
        <w:tc>
          <w:tcPr/>
          <w:p>
            <w:pPr>
              <w:pStyle w:val="Compact"/>
              <w:jc w:val="left"/>
            </w:pPr>
            <w:r>
              <w:t xml:space="preserve">0.8 &amp; 10</w:t>
            </w:r>
          </w:p>
        </w:tc>
        <w:tc>
          <w:tcPr/>
          <w:p>
            <w:pPr>
              <w:pStyle w:val="Compact"/>
              <w:jc w:val="left"/>
            </w:pPr>
            <w:r>
              <w:t xml:space="preserve">250 m L</w:t>
            </w:r>
          </w:p>
        </w:tc>
      </w:tr>
      <w:tr>
        <w:tc>
          <w:tcPr/>
          <w:p>
            <w:pPr>
              <w:pStyle w:val="Compact"/>
              <w:jc w:val="left"/>
            </w:pPr>
            <w:r>
              <w:t xml:space="preserve">11</w:t>
            </w:r>
          </w:p>
        </w:tc>
        <w:tc>
          <w:tcPr/>
          <w:p>
            <w:pPr>
              <w:pStyle w:val="Compact"/>
              <w:jc w:val="left"/>
            </w:pPr>
            <w:r>
              <w:t xml:space="preserve">FW, 12.54 g</w:t>
            </w:r>
          </w:p>
        </w:tc>
        <w:tc>
          <w:tcPr/>
          <w:p>
            <w:pPr>
              <w:pStyle w:val="Compact"/>
              <w:jc w:val="left"/>
            </w:pPr>
            <w:r>
              <w:t xml:space="preserve">C-GL, 9.02 m L</w:t>
            </w:r>
          </w:p>
        </w:tc>
        <w:tc>
          <w:tcPr/>
          <w:p>
            <w:pPr>
              <w:pStyle w:val="Compact"/>
              <w:jc w:val="left"/>
            </w:pPr>
            <w:r>
              <w:t xml:space="preserve">P-GL, 2.6 m L</w:t>
            </w:r>
          </w:p>
        </w:tc>
        <w:tc>
          <w:tcPr/>
          <w:p>
            <w:pPr>
              <w:pStyle w:val="Compact"/>
              <w:jc w:val="left"/>
            </w:pPr>
            <w:r>
              <w:t xml:space="preserve">KHCO3, 1.57 g</w:t>
            </w:r>
          </w:p>
        </w:tc>
        <w:tc>
          <w:tcPr/>
          <w:p>
            <w:pPr>
              <w:pStyle w:val="Compact"/>
              <w:jc w:val="left"/>
            </w:pPr>
            <w:r>
              <w:t xml:space="preserve">0.13–0.4 &amp; 5–10(c)</w:t>
            </w:r>
          </w:p>
        </w:tc>
        <w:tc>
          <w:tcPr/>
          <w:p>
            <w:pPr>
              <w:pStyle w:val="Compact"/>
              <w:jc w:val="left"/>
            </w:pPr>
            <w:r>
              <w:t xml:space="preserve">250 m L</w:t>
            </w:r>
          </w:p>
        </w:tc>
      </w:tr>
      <w:tr>
        <w:tc>
          <w:tcPr/>
          <w:p>
            <w:pPr>
              <w:pStyle w:val="Compact"/>
              <w:jc w:val="left"/>
            </w:pPr>
            <w:r>
              <w:t xml:space="preserve">18</w:t>
            </w:r>
          </w:p>
        </w:tc>
        <w:tc>
          <w:tcPr/>
          <w:p>
            <w:pPr>
              <w:pStyle w:val="Compact"/>
              <w:jc w:val="left"/>
            </w:pPr>
            <w:r>
              <w:t xml:space="preserve">FW, 10.88 g</w:t>
            </w:r>
          </w:p>
        </w:tc>
        <w:tc>
          <w:tcPr/>
          <w:p>
            <w:pPr>
              <w:pStyle w:val="Compact"/>
              <w:jc w:val="left"/>
            </w:pPr>
            <w:r>
              <w:t xml:space="preserve">C-GL, 2.89 m L</w:t>
            </w:r>
          </w:p>
        </w:tc>
        <w:tc>
          <w:tcPr/>
          <w:p>
            <w:pPr>
              <w:pStyle w:val="Compact"/>
              <w:jc w:val="left"/>
            </w:pPr>
            <w:r>
              <w:t xml:space="preserve">P-GL, 1.44 m L</w:t>
            </w:r>
          </w:p>
        </w:tc>
        <w:tc>
          <w:tcPr/>
          <w:p>
            <w:pPr>
              <w:pStyle w:val="Compact"/>
            </w:pPr>
          </w:p>
        </w:tc>
        <w:tc>
          <w:tcPr/>
          <w:p>
            <w:pPr>
              <w:pStyle w:val="Compact"/>
              <w:jc w:val="left"/>
            </w:pPr>
            <w:r>
              <w:t xml:space="preserve">0.0256 &amp; 2</w:t>
            </w:r>
          </w:p>
        </w:tc>
        <w:tc>
          <w:tcPr/>
          <w:p>
            <w:pPr>
              <w:pStyle w:val="Compact"/>
              <w:jc w:val="left"/>
            </w:pPr>
            <w:r>
              <w:t xml:space="preserve">250 m L</w:t>
            </w:r>
          </w:p>
        </w:tc>
      </w:tr>
      <w:tr>
        <w:tc>
          <w:tcPr/>
          <w:p>
            <w:pPr>
              <w:pStyle w:val="Compact"/>
              <w:jc w:val="left"/>
            </w:pPr>
            <w:r>
              <w:t xml:space="preserve">25</w:t>
            </w:r>
          </w:p>
        </w:tc>
        <w:tc>
          <w:tcPr/>
          <w:p>
            <w:pPr>
              <w:pStyle w:val="Compact"/>
              <w:jc w:val="left"/>
            </w:pPr>
            <w:r>
              <w:t xml:space="preserve">FW, 31.12 g</w:t>
            </w:r>
          </w:p>
        </w:tc>
        <w:tc>
          <w:tcPr/>
          <w:p>
            <w:pPr>
              <w:pStyle w:val="Compact"/>
              <w:jc w:val="left"/>
            </w:pPr>
            <w:r>
              <w:t xml:space="preserve">C-GL, 44 m L</w:t>
            </w:r>
          </w:p>
        </w:tc>
        <w:tc>
          <w:tcPr/>
          <w:p>
            <w:pPr>
              <w:pStyle w:val="Compact"/>
              <w:jc w:val="left"/>
            </w:pPr>
            <w:r>
              <w:t xml:space="preserve">P-GL, 29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32</w:t>
            </w:r>
          </w:p>
        </w:tc>
        <w:tc>
          <w:tcPr/>
          <w:p>
            <w:pPr>
              <w:pStyle w:val="Compact"/>
              <w:jc w:val="left"/>
            </w:pPr>
            <w:r>
              <w:t xml:space="preserve">FW, 31.01 g</w:t>
            </w:r>
          </w:p>
        </w:tc>
        <w:tc>
          <w:tcPr/>
          <w:p>
            <w:pPr>
              <w:pStyle w:val="Compact"/>
              <w:jc w:val="left"/>
            </w:pPr>
            <w:r>
              <w:t xml:space="preserve">C-GL, 44 m L</w:t>
            </w:r>
          </w:p>
        </w:tc>
        <w:tc>
          <w:tcPr/>
          <w:p>
            <w:pPr>
              <w:pStyle w:val="Compact"/>
              <w:jc w:val="left"/>
            </w:pPr>
            <w:r>
              <w:t xml:space="preserve">P-GL, 28.9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39</w:t>
            </w:r>
          </w:p>
        </w:tc>
        <w:tc>
          <w:tcPr/>
          <w:p>
            <w:pPr>
              <w:pStyle w:val="Compact"/>
              <w:jc w:val="left"/>
            </w:pPr>
            <w:r>
              <w:t xml:space="preserve">FW, 46.52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 g</w:t>
            </w:r>
          </w:p>
        </w:tc>
        <w:tc>
          <w:tcPr/>
          <w:p>
            <w:pPr>
              <w:pStyle w:val="Compact"/>
              <w:jc w:val="left"/>
            </w:pPr>
            <w:r>
              <w:t xml:space="preserve">3.1 &amp; 15</w:t>
            </w:r>
          </w:p>
        </w:tc>
        <w:tc>
          <w:tcPr/>
          <w:p>
            <w:pPr>
              <w:pStyle w:val="Compact"/>
              <w:jc w:val="left"/>
            </w:pPr>
            <w:r>
              <w:t xml:space="preserve">250 m L</w:t>
            </w:r>
          </w:p>
        </w:tc>
      </w:tr>
      <w:tr>
        <w:tc>
          <w:tcPr/>
          <w:p>
            <w:pPr>
              <w:pStyle w:val="Compact"/>
              <w:jc w:val="left"/>
            </w:pPr>
            <w:r>
              <w:t xml:space="preserve">46</w:t>
            </w:r>
          </w:p>
        </w:tc>
        <w:tc>
          <w:tcPr/>
          <w:p>
            <w:pPr>
              <w:pStyle w:val="Compact"/>
              <w:jc w:val="left"/>
            </w:pPr>
            <w:r>
              <w:t xml:space="preserve">FW, 50.07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2.67 g</w:t>
            </w:r>
          </w:p>
        </w:tc>
        <w:tc>
          <w:tcPr/>
          <w:p>
            <w:pPr>
              <w:pStyle w:val="Compact"/>
              <w:jc w:val="left"/>
            </w:pPr>
            <w:r>
              <w:t xml:space="preserve">3.16 &amp; 15</w:t>
            </w:r>
          </w:p>
        </w:tc>
        <w:tc>
          <w:tcPr/>
          <w:p>
            <w:pPr>
              <w:pStyle w:val="Compact"/>
              <w:jc w:val="left"/>
            </w:pPr>
            <w:r>
              <w:t xml:space="preserve">250 m L</w:t>
            </w:r>
          </w:p>
        </w:tc>
      </w:tr>
      <w:tr>
        <w:tc>
          <w:tcPr/>
          <w:p>
            <w:pPr>
              <w:pStyle w:val="Compact"/>
              <w:jc w:val="left"/>
            </w:pPr>
            <w:r>
              <w:t xml:space="preserve">53(d)</w:t>
            </w:r>
          </w:p>
        </w:tc>
        <w:tc>
          <w:tcPr/>
          <w:p>
            <w:pPr>
              <w:pStyle w:val="Compact"/>
              <w:jc w:val="left"/>
            </w:pPr>
            <w:r>
              <w:t xml:space="preserve">C-GL, 55 m L</w:t>
            </w:r>
          </w:p>
        </w:tc>
        <w:tc>
          <w:tcPr/>
          <w:p>
            <w:pPr>
              <w:pStyle w:val="Compact"/>
              <w:jc w:val="left"/>
            </w:pPr>
            <w:r>
              <w:t xml:space="preserve">P-GL, 11.5 m L</w:t>
            </w:r>
          </w:p>
        </w:tc>
        <w:tc>
          <w:tcPr/>
          <w:p>
            <w:pPr>
              <w:pStyle w:val="Compact"/>
            </w:pPr>
          </w:p>
        </w:tc>
        <w:tc>
          <w:tcPr/>
          <w:p>
            <w:pPr>
              <w:pStyle w:val="Compact"/>
              <w:jc w:val="left"/>
            </w:pPr>
            <w:r>
              <w:t xml:space="preserve">KHCO3, 5.38 g</w:t>
            </w:r>
          </w:p>
        </w:tc>
        <w:tc>
          <w:tcPr/>
          <w:p>
            <w:pPr>
              <w:pStyle w:val="Compact"/>
              <w:jc w:val="left"/>
            </w:pPr>
            <w:r>
              <w:t xml:space="preserve">0.42 &amp; 10</w:t>
            </w:r>
          </w:p>
        </w:tc>
        <w:tc>
          <w:tcPr/>
          <w:p>
            <w:pPr>
              <w:pStyle w:val="Compact"/>
              <w:jc w:val="left"/>
            </w:pPr>
            <w:r>
              <w:t xml:space="preserve">500 m L</w:t>
            </w:r>
          </w:p>
        </w:tc>
      </w:tr>
      <w:tr>
        <w:tc>
          <w:tcPr/>
          <w:p>
            <w:pPr>
              <w:pStyle w:val="Compact"/>
              <w:jc w:val="left"/>
            </w:pPr>
            <w:r>
              <w:t xml:space="preserve">60</w:t>
            </w:r>
          </w:p>
        </w:tc>
        <w:tc>
          <w:tcPr/>
          <w:p>
            <w:pPr>
              <w:pStyle w:val="Compact"/>
              <w:jc w:val="left"/>
            </w:pPr>
            <w:r>
              <w:t xml:space="preserve">C-GL, 55 m L</w:t>
            </w:r>
          </w:p>
        </w:tc>
        <w:tc>
          <w:tcPr/>
          <w:p>
            <w:pPr>
              <w:pStyle w:val="Compact"/>
              <w:jc w:val="left"/>
            </w:pPr>
            <w:r>
              <w:t xml:space="preserve">P-GL, 12 m L</w:t>
            </w:r>
          </w:p>
        </w:tc>
        <w:tc>
          <w:tcPr/>
          <w:p>
            <w:pPr>
              <w:pStyle w:val="Compact"/>
            </w:pPr>
          </w:p>
        </w:tc>
        <w:tc>
          <w:tcPr/>
          <w:p>
            <w:pPr>
              <w:pStyle w:val="Compact"/>
              <w:jc w:val="left"/>
            </w:pPr>
            <w:r>
              <w:t xml:space="preserve">KHCO3, 5.18 g</w:t>
            </w:r>
          </w:p>
        </w:tc>
        <w:tc>
          <w:tcPr/>
          <w:p>
            <w:pPr>
              <w:pStyle w:val="Compact"/>
              <w:jc w:val="left"/>
            </w:pPr>
            <w:r>
              <w:t xml:space="preserve">0.42 &amp; 10</w:t>
            </w:r>
          </w:p>
        </w:tc>
        <w:tc>
          <w:tcPr/>
          <w:p>
            <w:pPr>
              <w:pStyle w:val="Compact"/>
              <w:jc w:val="left"/>
            </w:pPr>
            <w:r>
              <w:t xml:space="preserve">500 m L(e)</w:t>
            </w:r>
          </w:p>
        </w:tc>
      </w:tr>
      <w:tr>
        <w:tc>
          <w:tcPr/>
          <w:p>
            <w:pPr>
              <w:pStyle w:val="Compact"/>
              <w:jc w:val="left"/>
            </w:pPr>
            <w:r>
              <w:t xml:space="preserve">67</w:t>
            </w:r>
          </w:p>
        </w:tc>
        <w:tc>
          <w:tcPr/>
          <w:p>
            <w:pPr>
              <w:pStyle w:val="Compact"/>
              <w:jc w:val="left"/>
            </w:pPr>
            <w:r>
              <w:t xml:space="preserve">C-GL, 41 m L</w:t>
            </w:r>
          </w:p>
        </w:tc>
        <w:tc>
          <w:tcPr/>
          <w:p>
            <w:pPr>
              <w:pStyle w:val="Compact"/>
              <w:jc w:val="left"/>
            </w:pPr>
            <w:r>
              <w:t xml:space="preserve">P-GL, 9 m L</w:t>
            </w:r>
          </w:p>
        </w:tc>
        <w:tc>
          <w:tcPr/>
          <w:p>
            <w:pPr>
              <w:pStyle w:val="Compact"/>
            </w:pPr>
          </w:p>
        </w:tc>
        <w:tc>
          <w:tcPr/>
          <w:p>
            <w:pPr>
              <w:pStyle w:val="Compact"/>
              <w:jc w:val="left"/>
            </w:pPr>
            <w:r>
              <w:t xml:space="preserve">KHCO3, 2.56 g</w:t>
            </w:r>
          </w:p>
        </w:tc>
        <w:tc>
          <w:tcPr/>
          <w:p>
            <w:pPr>
              <w:pStyle w:val="Compact"/>
              <w:jc w:val="left"/>
            </w:pPr>
            <w:r>
              <w:t xml:space="preserve">0.95 &amp; 15</w:t>
            </w:r>
          </w:p>
        </w:tc>
        <w:tc>
          <w:tcPr/>
          <w:p>
            <w:pPr>
              <w:pStyle w:val="Compact"/>
              <w:jc w:val="left"/>
            </w:pPr>
            <w:r>
              <w:t xml:space="preserve">250 m L</w:t>
            </w:r>
          </w:p>
        </w:tc>
      </w:tr>
      <w:tr>
        <w:tc>
          <w:tcPr/>
          <w:p>
            <w:pPr>
              <w:pStyle w:val="Compact"/>
              <w:jc w:val="left"/>
            </w:pPr>
            <w:r>
              <w:t xml:space="preserve">74</w:t>
            </w:r>
          </w:p>
        </w:tc>
        <w:tc>
          <w:tcPr/>
          <w:p>
            <w:pPr>
              <w:pStyle w:val="Compact"/>
              <w:jc w:val="left"/>
            </w:pPr>
            <w:r>
              <w:t xml:space="preserve">C-GL, 60 m L</w:t>
            </w:r>
          </w:p>
        </w:tc>
        <w:tc>
          <w:tcPr/>
          <w:p>
            <w:pPr>
              <w:pStyle w:val="Compact"/>
              <w:jc w:val="left"/>
            </w:pPr>
            <w:r>
              <w:t xml:space="preserve">P-GL, 12.5 m L</w:t>
            </w:r>
          </w:p>
        </w:tc>
        <w:tc>
          <w:tcPr/>
          <w:p>
            <w:pPr>
              <w:pStyle w:val="Compact"/>
            </w:pPr>
          </w:p>
        </w:tc>
        <w:tc>
          <w:tcPr/>
          <w:p>
            <w:pPr>
              <w:pStyle w:val="Compact"/>
              <w:jc w:val="left"/>
            </w:pPr>
            <w:r>
              <w:t xml:space="preserve">KHCO3, 2.57 g</w:t>
            </w:r>
          </w:p>
        </w:tc>
        <w:tc>
          <w:tcPr/>
          <w:p>
            <w:pPr>
              <w:pStyle w:val="Compact"/>
              <w:jc w:val="left"/>
            </w:pPr>
            <w:r>
              <w:t xml:space="preserve">1.37 &amp; 15</w:t>
            </w:r>
          </w:p>
        </w:tc>
        <w:tc>
          <w:tcPr/>
          <w:p>
            <w:pPr>
              <w:pStyle w:val="Compact"/>
              <w:jc w:val="left"/>
            </w:pPr>
            <w:r>
              <w:t xml:space="preserve">250 m L</w:t>
            </w:r>
          </w:p>
        </w:tc>
      </w:tr>
    </w:tbl>
    <w:bookmarkEnd w:id="42"/>
    <w:bookmarkEnd w:id="43"/>
    <w:bookmarkEnd w:id="44"/>
    <w:bookmarkStart w:id="65" w:name="results"/>
    <w:p>
      <w:pPr>
        <w:pStyle w:val="Heading1"/>
      </w:pPr>
      <w:r>
        <w:rPr>
          <w:rStyle w:val="SectionNumber"/>
        </w:rPr>
        <w:t xml:space="preserve">5</w:t>
      </w:r>
      <w:r>
        <w:tab/>
      </w:r>
      <w:r>
        <w:t xml:space="preserve">Results</w:t>
      </w:r>
    </w:p>
    <w:bookmarkStart w:id="57"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 brown suspension (Fig. 5.1a). Within three days of operation, the colour changed to black (Fig. 5.1b), which is characteristic of active anaerobic digestion and is typically caused by the precipitation of metal sulphides, particularly iron sulphide,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6" name="Picture"/>
                  <a:graphic>
                    <a:graphicData uri="http://schemas.openxmlformats.org/drawingml/2006/picture">
                      <pic:pic>
                        <pic:nvPicPr>
                          <pic:cNvPr descr="/home/chery/Documents/thesis/build/media/assets/photos/reactor/reator-19-5.jpg" id="47" name="Picture"/>
                          <pic:cNvPicPr>
                            <a:picLocks noChangeArrowheads="1" noChangeAspect="1"/>
                          </pic:cNvPicPr>
                        </pic:nvPicPr>
                        <pic:blipFill>
                          <a:blip r:embed="rId45"/>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49" name="Picture"/>
                  <a:graphic>
                    <a:graphicData uri="http://schemas.openxmlformats.org/drawingml/2006/picture">
                      <pic:pic>
                        <pic:nvPicPr>
                          <pic:cNvPr descr="/home/chery/Documents/thesis/build/media/assets/photos/reactor/reator-22-5.jpg" id="50" name="Picture"/>
                          <pic:cNvPicPr>
                            <a:picLocks noChangeArrowheads="1" noChangeAspect="1"/>
                          </pic:cNvPicPr>
                        </pic:nvPicPr>
                        <pic:blipFill>
                          <a:blip r:embed="rId48"/>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that the tube had to be cleaned.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2" name="Picture"/>
                  <a:graphic>
                    <a:graphicData uri="http://schemas.openxmlformats.org/drawingml/2006/picture">
                      <pic:pic>
                        <pic:nvPicPr>
                          <pic:cNvPr descr="/home/chery/Documents/thesis/build/media/assets/photos/reactor/reator-limp-seco-24-8.jpg" id="53" name="Picture"/>
                          <pic:cNvPicPr>
                            <a:picLocks noChangeArrowheads="1" noChangeAspect="1"/>
                          </pic:cNvPicPr>
                        </pic:nvPicPr>
                        <pic:blipFill>
                          <a:blip r:embed="rId51"/>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5" name="Picture"/>
                  <a:graphic>
                    <a:graphicData uri="http://schemas.openxmlformats.org/drawingml/2006/picture">
                      <pic:pic>
                        <pic:nvPicPr>
                          <pic:cNvPr descr="/home/chery/Documents/thesis/build/media/assets/photos/reactor/reator-limp-agua-24-8.jpg" id="56" name="Picture"/>
                          <pic:cNvPicPr>
                            <a:picLocks noChangeArrowheads="1" noChangeAspect="1"/>
                          </pic:cNvPicPr>
                        </pic:nvPicPr>
                        <pic:blipFill>
                          <a:blip r:embed="rId54"/>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7"/>
    <w:bookmarkStart w:id="64" w:name="biogas-production"/>
    <w:p>
      <w:pPr>
        <w:pStyle w:val="Heading2"/>
      </w:pPr>
      <w:r>
        <w:rPr>
          <w:rStyle w:val="SectionNumber"/>
        </w:rPr>
        <w:t xml:space="preserve">5.2</w:t>
      </w:r>
      <w:r>
        <w:tab/>
      </w:r>
      <w:r>
        <w:t xml:space="preserve">Biogas Production</w:t>
      </w:r>
    </w:p>
    <w:p>
      <w:pPr>
        <w:pStyle w:val="FirstParagraph"/>
      </w:pPr>
      <w:r>
        <w:t xml:space="preserve">Biogas production was monitored continuously using AMPTS II, which recorded both the cumulative volume of CH4 produced and the instantaneous flow rate. The entire experimental period is summarised in Fig. 5.3 and Fig. 5.4. To facilitate interpretation, the data have been divided into four distinct phases based on the feeding regime: (i) an adaptation phase 5.2.2, (ii) co-digestion of food waste and glycerol 5.2.3, (iii) digestion of crude glycerol 5.2.4, and (iv) a post-feeding period 5.2.5.</w:t>
      </w:r>
    </w:p>
    <w:bookmarkStart w:id="58"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whole experiment (Fig. 5.3) shows a continuous increase, indicating that the reactor maintained methanogenic activity throughout the monitored period. The total flow profile (Fig. 5.4) exhibits distinct peaks corresponding to daily production of CH4, with variations in amplitude reflecting the different substrate compositions and organic loading rates applied during each phase. And a outlier peak at day 53, that was when the feed was changed from a mixture of FW and C-GL, to only C-GL, and due to some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L/d</w:t>
      </w:r>
    </w:p>
    <w:bookmarkEnd w:id="58"/>
    <w:bookmarkStart w:id="59" w:name="adaptation-phase"/>
    <w:p>
      <w:pPr>
        <w:pStyle w:val="Heading3"/>
      </w:pPr>
      <w:r>
        <w:rPr>
          <w:rStyle w:val="SectionNumber"/>
        </w:rPr>
        <w:t xml:space="preserve">5.2.2</w:t>
      </w:r>
      <w:r>
        <w:tab/>
      </w:r>
      <w:r>
        <w:t xml:space="preserve">Adaptation Phase</w:t>
      </w:r>
    </w:p>
    <w:p>
      <w:pPr>
        <w:pStyle w:val="FirstParagraph"/>
      </w:pPr>
      <w:r>
        <w:t xml:space="preserve">During the initial adaptation phase, biogas production was low (Fig. 5.5 and Fig. 5.6). This lag period is normal for anaerobic reactors as the microbial community adjusts to the new substrate and operating conditions. The small but measurable CH4 flow confirmed that the viability of the inoculum, and the gradual increase in flow suggested the onset of exponential growth of the microorganisms.</w:t>
      </w:r>
    </w:p>
    <w:p>
      <w:pPr>
        <w:pStyle w:val="BodyText"/>
      </w:pPr>
      <w:r>
        <w:t xml:space="preserve">The spikes seen on the days 8 and 10 (Fig. 5.6) probably happended by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L/d (Adaptation Phase)</w:t>
      </w:r>
    </w:p>
    <w:bookmarkEnd w:id="59"/>
    <w:bookmarkStart w:id="60"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The reactor was fed with a mixture of FW and C-GL, a marked increase in biogas production was observed (Fig. 5.7 and Fig. 5.8). The cumulative CH4 volume rose steeply, and the flow rate showed pronounced spikes immediately after each feeding event (Fig. 5.9). These spikes are typical of readily degradable substrates, which are quickly hydrolysed and converted to VFA and subsequently to CH4. The average flow rate during this phase was higher than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FW and C-GL)</w:t>
      </w:r>
    </w:p>
    <w:tbl>
      <w:tblPr>
        <w:tblStyle w:val="FigureTable"/>
        <w:tblW w:type="auto" w:w="0"/>
        <w:jc w:val="center"/>
        <w:tblLook w:firstRow="0" w:lastRow="0" w:firstColumn="0" w:lastColumn="0"/>
      </w:tblPr>
      <w:tblGrid/>
    </w:tbl>
    <w:p>
      <w:pPr>
        <w:pStyle w:val="ImageCaption"/>
      </w:pPr>
      <w:r>
        <w:t xml:space="preserve">Volume flow of Nm L/d (co-digestion of FW and C-GL)</w:t>
      </w:r>
    </w:p>
    <w:tbl>
      <w:tblPr>
        <w:tblStyle w:val="FigureTable"/>
        <w:tblW w:type="auto" w:w="0"/>
        <w:jc w:val="center"/>
        <w:tblLook w:firstRow="0" w:lastRow="0" w:firstColumn="0" w:lastColumn="0"/>
      </w:tblPr>
      <w:tblGrid/>
    </w:tbl>
    <w:p>
      <w:pPr>
        <w:pStyle w:val="ImageCaption"/>
      </w:pPr>
      <w:r>
        <w:t xml:space="preserve">Volume flow of Nm L/h (co-digestion of FW and C-GL)</w:t>
      </w:r>
    </w:p>
    <w:bookmarkEnd w:id="60"/>
    <w:bookmarkStart w:id="61"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biogas production decreased (Fig. 5.10 and Fig. 5.11). Although spikes in the flow were still observed after feeding (Fig. 5.12), their magnitude was bigger than during the co-digestion phase, and the cumulative CH4 volume plateaued more quickly. Several factors may explain this lower performance:</w:t>
      </w:r>
    </w:p>
    <w:p>
      <w:pPr>
        <w:numPr>
          <w:ilvl w:val="0"/>
          <w:numId w:val="1002"/>
        </w:numPr>
      </w:pPr>
      <w:r>
        <w:t xml:space="preserve">The GL could have been transformed to fast or too slow, to maintaing a concentration of intermediate products.</w:t>
      </w:r>
    </w:p>
    <w:p>
      <w:pPr>
        <w:numPr>
          <w:ilvl w:val="0"/>
          <w:numId w:val="1002"/>
        </w:numPr>
      </w:pPr>
      <w:r>
        <w:t xml:space="preserve">The retention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so without a more thorough investigation of what it was, it can’t be said it didn’t help the AD system.</w:t>
      </w:r>
    </w:p>
    <w:p>
      <w:pPr>
        <w:pStyle w:val="FirstParagraph"/>
      </w:pPr>
      <w:r>
        <w:t xml:space="preserve">For those factors, can’t be said that this phase is worse than the co-digestion phase. If the experiment was done in reverse, it’s likely that we would have seen a reverse on the results, were the phase with only C-GL would have a bigger production than the co-digestion of FW and C-GL.</w:t>
      </w:r>
    </w:p>
    <w:tbl>
      <w:tblPr>
        <w:tblStyle w:val="FigureTable"/>
        <w:tblW w:type="auto" w:w="0"/>
        <w:jc w:val="center"/>
        <w:tblLook w:firstRow="0" w:lastRow="0" w:firstColumn="0" w:lastColumn="0"/>
      </w:tblPr>
      <w:tblGrid/>
    </w:tbl>
    <w:p>
      <w:pPr>
        <w:pStyle w:val="ImageCaption"/>
      </w:pPr>
      <w:r>
        <w:t xml:space="preserve">Cumulative volume of Nm L (Anaerobic digestion of C-GL)</w:t>
      </w:r>
    </w:p>
    <w:tbl>
      <w:tblPr>
        <w:tblStyle w:val="FigureTable"/>
        <w:tblW w:type="auto" w:w="0"/>
        <w:jc w:val="center"/>
        <w:tblLook w:firstRow="0" w:lastRow="0" w:firstColumn="0" w:lastColumn="0"/>
      </w:tblPr>
      <w:tblGrid/>
    </w:tbl>
    <w:p>
      <w:pPr>
        <w:pStyle w:val="ImageCaption"/>
      </w:pPr>
      <w:r>
        <w:t xml:space="preserve">Volume flow of Nm L/d (Anaerobic digestion of C-GL)</w:t>
      </w:r>
    </w:p>
    <w:tbl>
      <w:tblPr>
        <w:tblStyle w:val="FigureTable"/>
        <w:tblW w:type="auto" w:w="0"/>
        <w:jc w:val="center"/>
        <w:tblLook w:firstRow="0" w:lastRow="0" w:firstColumn="0" w:lastColumn="0"/>
      </w:tblPr>
      <w:tblGrid/>
    </w:tbl>
    <w:p>
      <w:pPr>
        <w:pStyle w:val="ImageCaption"/>
      </w:pPr>
      <w:r>
        <w:t xml:space="preserve">Volume flow of Nm L/h (Anaerobic digestion of C-GL)</w:t>
      </w:r>
    </w:p>
    <w:bookmarkEnd w:id="61"/>
    <w:bookmarkStart w:id="62"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just had some residual substrate from the C-GL only phase for a week. Nevertheless, a small residual biogas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L/d (Post-feeding period)</w:t>
      </w:r>
    </w:p>
    <w:bookmarkEnd w:id="62"/>
    <w:bookmarkStart w:id="63" w:name="alkalinity-and-volatile-fatty-acids"/>
    <w:p>
      <w:pPr>
        <w:pStyle w:val="Heading3"/>
      </w:pPr>
      <w:r>
        <w:rPr>
          <w:rStyle w:val="SectionNumber"/>
        </w:rPr>
        <w:t xml:space="preserve">5.2.6</w:t>
      </w:r>
      <w:r>
        <w:tab/>
      </w:r>
      <w:r>
        <w:t xml:space="preserve">Alkalinity and Volatile Fatty Acids</w:t>
      </w:r>
    </w:p>
    <w:p>
      <w:pPr>
        <w:pStyle w:val="FirstParagraph"/>
      </w:pPr>
      <w:r>
        <w:t xml:space="preserve">The 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mg Ca CO3/L and remained relatively high until close to the end. This high Alk was maintained by the addition of bicarbonate to the feed, which helped to counteract the acidity produced during the degradation of the feed.</w:t>
      </w:r>
    </w:p>
    <w:p>
      <w:pPr>
        <w:pStyle w:val="BodyText"/>
      </w:pPr>
      <w:r>
        <w:t xml:space="preserve">Volatile fatty acid concentrations also increased after the start of feeding, reaching values between 3000–5000 mg CH3COOH/L. Such high VFA levels are often associated with process imbalance, as they can inhibit methanogenesis. However, the high Alk provided a strong buffering capacity, and the pH remained above 6.5 for most of the experiment, with the co-digestion the pH was falling and with C-GL only the pH was increasing. The vfa/alk is a more reliable indicator of instability. In this experiment, the ratio fluctuated between 0.3–1.2. While using the co-digestion feed a ration around 0.8–1.0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vfa/alk comparison graph</w:t>
      </w:r>
    </w:p>
    <w:bookmarkEnd w:id="63"/>
    <w:bookmarkEnd w:id="64"/>
    <w:bookmarkEnd w:id="65"/>
    <w:bookmarkStart w:id="66"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is summarised in ??, which reports the cumulative CH4 production, specific yield, and volumetric productivity for each of the four operational phases. The cumulative specific CH4 yield is calculated using ??, while the daily specific CH4 production rate is obtained from ??. The volumetric productivity is derived from ??, and the phase averaged values are computed using ?? and ?? and ??. The overall yield for the entire experiment is given by ??. These parameters are visualised in ?? and ?? and ??, which show the evolution of CH4 yield and OLR across the four phases.</w:t>
      </w:r>
    </w:p>
    <w:p>
      <w:pPr>
        <w:pStyle w:val="BodyText"/>
      </w:pPr>
      <w:r>
        <w:t xml:space="preserve">lllllll</w:t>
      </w:r>
    </w:p>
    <w:p>
      <w:pPr>
        <w:pStyle w:val="BodyText"/>
      </w:pPr>
      <w:r>
        <w:br/>
      </w:r>
      <w:r>
        <w:t xml:space="preserve">&amp;</w:t>
      </w:r>
      <w:r>
        <w:t xml:space="preserve"> </w:t>
      </w:r>
      <w:r>
        <w:t xml:space="preserve">&amp;</w:t>
      </w:r>
      <w:r>
        <w:t xml:space="preserve"> </w:t>
      </w:r>
      <w:r>
        <w:t xml:space="preserve">&amp;</w:t>
      </w:r>
      <w:r>
        <w:t xml:space="preserve"> </w:t>
      </w:r>
      <w:r>
        <w:t xml:space="preserve">&amp;</w:t>
      </w:r>
      <w:r>
        <w:t xml:space="preserve"> </w:t>
      </w:r>
      <w:r>
        <w:t xml:space="preserve">&amp;</w:t>
      </w:r>
      <w:r>
        <w:t xml:space="preserve"> </w:t>
      </w:r>
      <w:r>
        <w:t xml:space="preserve">&amp;</w:t>
      </w:r>
      <w:r>
        <w:br/>
      </w:r>
    </w:p>
    <w:p>
      <w:pPr>
        <w:pStyle w:val="BodyText"/>
      </w:pPr>
      <w:r>
        <w:br/>
      </w:r>
      <w:r>
        <w:t xml:space="preserve">&amp;</w:t>
      </w:r>
      <w:r>
        <w:t xml:space="preserve"> </w:t>
      </w:r>
      <w:r>
        <w:t xml:space="preserve">&amp;</w:t>
      </w:r>
      <w:r>
        <w:t xml:space="preserve"> </w:t>
      </w:r>
      <w:r>
        <w:t xml:space="preserve">&amp;</w:t>
      </w:r>
      <w:r>
        <w:t xml:space="preserve"> </w:t>
      </w:r>
      <w:r>
        <w:t xml:space="preserve">&amp;</w:t>
      </w:r>
      <w:r>
        <w:t xml:space="preserve"> </w:t>
      </w:r>
      <w:r>
        <w:t xml:space="preserve">&amp;</w:t>
      </w:r>
      <w:r>
        <w:t xml:space="preserve"> </w:t>
      </w:r>
      <w:r>
        <w:t xml:space="preserve">&amp;</w:t>
      </w:r>
      <w:r>
        <w:br/>
      </w:r>
    </w:p>
    <w:p>
      <w:pPr>
        <w:pStyle w:val="BodyText"/>
      </w:pPr>
      <w:r>
        <w:t xml:space="preserve">Phase &amp; day_start &amp; day_end &amp; olr min &amp; olr max &amp; cum_CH4_start &amp; cum_CH4_end &amp; delta_CH4_NmL &amp; cum_VS_start &amp; cum_VS_end &amp; delta_VS_g &amp; yield_NmL_per_gVSfed &amp; avg_mol_per_m3_per_d &amp; avg_L_per_L_per_d &amp; avg_mL_per_gVSfed_per_d</w:t>
      </w:r>
      <w:r>
        <w:br/>
      </w:r>
      <w:r>
        <w:t xml:space="preserve">Adaptation &amp; 0 &amp; 24 &amp; 0.0256 &amp; 1.5 &amp; 0 &amp; 758.9 &amp; 758.9 &amp; 0 &amp; 16.628 &amp; 16.628 &amp; 45.6399 &amp; 1.3543 &amp; 0.0304 &amp; 340.3995</w:t>
      </w:r>
      <w:r>
        <w:br/>
      </w:r>
      <w:r>
        <w:t xml:space="preserve">Co-digestion &amp; 25 &amp; 52 &amp; 1.4 &amp; 3.16 &amp; 758.9 &amp; 2008.8 &amp; 1249.9 &amp; 16.628 &amp; 80.048 &amp; 63.42 &amp; 19.7083 &amp; 1.9917 &amp; 0.0446 &amp; 22.36</w:t>
      </w:r>
      <w:r>
        <w:br/>
      </w:r>
      <w:r>
        <w:t xml:space="preserve">C-GL only &amp; 53 &amp; 81 &amp; 0.42 &amp; 1.37 &amp; 2008.8 &amp; 2886.7 &amp; 877.9 &amp; 80.048 &amp; 103.538 &amp; 23.49 &amp; 37.3734 &amp; 1.3507 &amp; 0.0303 &amp; 52.7679</w:t>
      </w:r>
      <w:r>
        <w:br/>
      </w:r>
      <w:r>
        <w:t xml:space="preserve">Post-feeding &amp; 82 &amp; 97 &amp; 0 &amp; 1.37 &amp; 2886.7 &amp; 3276.1 &amp; 389.4 &amp; 103.538 &amp; 113.128 &amp; 9.59 &amp; 40.6048 &amp; 1.0936 &amp; 0.0245 &amp; 21.6684</w:t>
      </w:r>
      <w:r>
        <w:br/>
      </w:r>
    </w:p>
    <w:p>
      <w:pPr>
        <w:pStyle w:val="BodyText"/>
      </w:pPr>
      <w:r>
        <w:t xml:space="preserve">The overall cumulative CH4 production reached 3276.1 Nm L, corresponding to an overall yield of approximately 28.96 Nm LCH4/g VS_fed (calculated using ??). This value is considerably lower than the yields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w:t>
      </w:r>
    </w:p>
    <w:p>
      <w:pPr>
        <w:pStyle w:val="BodyText"/>
      </w:pPr>
      <w:r>
        <w:t xml:space="preserve">During the adaptation phase (days 0–24), the specific CH4 yield reached 45.64 Nm LCH4/g VS_fed, the highest among all phases. However, this value must be interpreted with caution, as the cumulative VS fed during this period was only 16.628 g, and CH4 production was still in the early stages of development. The volumetric productivity was 0.0304 L/L_r/d. The daily yield profile in ??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25–52), the OLR was increased from 1.4–3.16 g VS/L/d, and the cumulative CH4 production reached 1249.9 Nm L. The specific yield decreased to 19.71 Nm LCH4/g VS_fed, while the volumetric productivity increased to 0.0446 L/L_r/d,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 exhibits fluctuations during this phase, this pattern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LCH4/g COD at a mixing ratio of 96.4</w:t>
      </w:r>
    </w:p>
    <w:p>
      <w:pPr>
        <w:pStyle w:val="BodyText"/>
      </w:pPr>
      <w:r>
        <w:t xml:space="preserve">The C-GL only phase (days 53–81) exhibited a specific yield of 37.37 Nm LCH4/g VS_fed and a volumetric productivity of 0.0303 L/L_r/d, with a cumulative CH4 production of 877.9 Nm L. The OLR ranged from 0.42–1.37 g VS/L/d. Despite the absence of FW in the feed, CH4 production continued, indicating that the microbial community had adapted to GL as a sole carbon source. However, the specific yield was lower than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 shows a declining trend during this phase, with a notable outlier peak at day 53, corresponding to the transition from co-digestion to GL-only feeding. This anomaly, also visible in ??, was caused by problems during the change.</w:t>
      </w:r>
    </w:p>
    <w:p>
      <w:pPr>
        <w:pStyle w:val="BodyText"/>
      </w:pPr>
      <w:r>
        <w:t xml:space="preserve">The post-feeding phase (days 82–97) produced 389.4 Nm L of CH4, with a specific yield of 40.60 Nm LCH4/g VS_fed and a volumetric productivity of 0.0245 L/L_r/d. The OLR got to zero during this period, and the CH4 produced can be attributed to the slow degradation of residual organic matter and microbial decay products. The daily yield profile in ??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CH4 yield</w:t>
      </w:r>
    </w:p>
    <w:tbl>
      <w:tblPr>
        <w:tblStyle w:val="FigureTable"/>
        <w:tblW w:type="auto" w:w="0"/>
        <w:jc w:val="center"/>
        <w:tblLook w:firstRow="0" w:lastRow="0" w:firstColumn="0" w:lastColumn="0"/>
      </w:tblPr>
      <w:tblGrid/>
    </w:tbl>
    <w:p>
      <w:pPr>
        <w:pStyle w:val="ImageCaption"/>
      </w:pPr>
      <w:r>
        <w:t xml:space="preserve">Daily yiled of CH4</w:t>
      </w:r>
    </w:p>
    <w:tbl>
      <w:tblPr>
        <w:tblStyle w:val="FigureTable"/>
        <w:tblW w:type="auto" w:w="0"/>
        <w:jc w:val="center"/>
        <w:tblLook w:firstRow="0" w:lastRow="0" w:firstColumn="0" w:lastColumn="0"/>
      </w:tblPr>
      <w:tblGrid/>
    </w:tbl>
    <w:p>
      <w:pPr>
        <w:pStyle w:val="ImageCaption"/>
      </w:pPr>
      <w:r>
        <w:t xml:space="preserve">Volumetric productivity of CH4</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w:r>
        <w:t xml:space="preserve">Comparisons with the literature reveal that the CH4 yields obtained in this experiment are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LCH4/L/d for mixing ratios of 5:1 and 1:1 (v/m), respectively, at OLRs of 1.7–4.1 VS/m³/d. These values are two orders of magnitude higher than the maximum volumetric productivity of 44.6 Nm LCH4/L/d obtained in the present study. The large difference is primarily due to the much higher OLR applied by</w:t>
      </w:r>
      <w:r>
        <w:t xml:space="preserve"> </w:t>
      </w:r>
      <w:r>
        <w:t xml:space="preserve">Aguiar et al. (2026)</w:t>
      </w:r>
      <w:r>
        <w:t xml:space="preserve"> </w:t>
      </w:r>
      <w:r>
        <w:t xml:space="preserve">and the different substrate characteristics.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NLCH4/VS in batch mode to 160 NLCH4/VS in continuous mode at an OLR of 0.4 VS/L/d. The continuous-mode yield of 160 NLCH4/VS is equivalent to 160 Nm LCH4/g VS, which is higher than the overall yield of 28.96 Nm LCH4/g VS_fed obtained in this experiment. However, it should be noted that</w:t>
      </w:r>
      <w:r>
        <w:t xml:space="preserve"> </w:t>
      </w:r>
      <w:r>
        <w:t xml:space="preserve">Longanesi (2016)</w:t>
      </w:r>
      <w:r>
        <w:t xml:space="preserve"> </w:t>
      </w:r>
      <w:r>
        <w:t xml:space="preserve">used grape pomace as the sole substrate, whereas the present experiment used a mixture of FW and C-GL.</w:t>
      </w:r>
      <w:r>
        <w:t xml:space="preserve"> </w:t>
      </w:r>
      <w:r>
        <w:t xml:space="preserve">Longanesi (2016)</w:t>
      </w:r>
      <w:r>
        <w:t xml:space="preserve"> </w:t>
      </w:r>
      <w:r>
        <w:t xml:space="preserve">also reported that co-digestion of grape pomace with maize silage improved the CH4 yield by 113.5 NLCH4/VS, highlighting the benefits of co-digestion for balancing the C/N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(CSTR-PFR or CSTR-CSTR) can enhance CH4 production by separating the hydrogen 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the fungal contamination observed during the cleaning of the reactor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LCH4/g VS_fed) was lower than during the adaptation phase, but the volumetric productivity was higher, indicating that the reactor was able to handle increased OLRs. These findings are consistent with</w:t>
      </w:r>
      <w:r>
        <w:t xml:space="preserve"> </w:t>
      </w:r>
      <w:r>
        <w:t xml:space="preserve">Gebreegziabher et al. (2025)</w:t>
      </w:r>
      <w:r>
        <w:t xml:space="preserve">, who reported that co-digestion of C-GL with nitrogen-rich substrates such as FW can enhance biogas production by balancing the C/N and providing essential nutrients. However, the accumulation of VFAs and the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w:t>
      </w:r>
    </w:p>
    <w:bookmarkEnd w:id="66"/>
    <w:bookmarkStart w:id="99" w:name="conclusion"/>
    <w:p>
      <w:pPr>
        <w:pStyle w:val="Heading1"/>
      </w:pPr>
      <w:r>
        <w:rPr>
          <w:rStyle w:val="SectionNumber"/>
        </w:rPr>
        <w:t xml:space="preserve">7</w:t>
      </w:r>
      <w:r>
        <w:tab/>
      </w:r>
      <w:r>
        <w:t xml:space="preserve">Conclusion</w:t>
      </w:r>
    </w:p>
    <w:p>
      <w:pPr>
        <w:pStyle w:val="FirstParagraph"/>
      </w:pPr>
      <w:r>
        <w:t xml:space="preserve">A direct comparison of the co-digestion and C-GL only phases reveals that the co-digestion of FW and C-GL resulted in higher biogas yields and more stable operation. The pH was decreasing faster with the co-digestion, where with C-GL only phase it wasn’t decreasing that fast, and was even growing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only phase, can’t be said to be strictly worse than the co-digestion of FW and C-GL, since both phases were done in sequence in the same reactor, this could have given the C-GL pahse disavantages on a contaminated enviroment.</w:t>
      </w:r>
    </w:p>
    <w:p>
      <w:pPr>
        <w:pStyle w:val="BodyText"/>
      </w:pPr>
      <w:r>
        <w:t xml:space="preserve">Using C-GL, with some P-GL to make the necessary ajustment to balance the C/N, could be a viable solution for the C-GL problem. It’s only major problem, is that C-GL contains a lot of inpurities that can affect the anaerobic digestion, and for a system that can reliably consume it, it will need a better control of it’s substrate.</w:t>
      </w:r>
    </w:p>
    <w:p>
      <w:pPr>
        <w:pStyle w:val="BodyText"/>
      </w:pPr>
      <w:r>
        <w:t xml:space="preserve">During the whole process, the biggest production of CH4 was when vfa/alk was with a pH of , during the C-GL only phase, even with not optmal valuos of pH and vfa/alk, it was able to maintain a resonable amount of production of CH4, showing that it can be a suitable substrate for AD.</w:t>
      </w:r>
    </w:p>
    <w:p>
      <w:pPr>
        <w:pStyle w:val="BodyText"/>
      </w:pPr>
      <w:r>
        <w:t xml:space="preserve">The CH4 yield obtained (28.96 Nm LCH4/g VS_fed) is lower than values reported in the literature for similar co-digestion systems. The highest volumetric productivity (0.0446 L/L_r/d) was observed during the co-digestion phase, while the highest specific yield (45.64 Nm LCH4/g VS_fed) occurred during the adaptation phase. This shows how importance of controlling the OLR, vfa/alk and the amount of C-GL used to enhance the CH4 production.</w:t>
      </w:r>
    </w:p>
    <w:p>
      <w:pPr>
        <w:pStyle w:val="BodyText"/>
      </w:pPr>
      <w:r>
        <w:t xml:space="preserve">Future studies could involve on how to use better the C-GL as a feed, to try subside it’s downside of it’s impurities and need for an extra carbon rich substrate to balance the feed.</w:t>
      </w:r>
    </w:p>
    <w:bookmarkStart w:id="98" w:name="refs"/>
    <w:bookmarkStart w:id="68"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7">
        <w:r>
          <w:rPr>
            <w:rStyle w:val="Hyperlink"/>
          </w:rPr>
          <w:t xml:space="preserve">https://doi.org/10.2139/ssrn.6315202</w:t>
        </w:r>
      </w:hyperlink>
    </w:p>
    <w:bookmarkEnd w:id="68"/>
    <w:bookmarkStart w:id="70"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69">
        <w:r>
          <w:rPr>
            <w:rStyle w:val="Hyperlink"/>
          </w:rPr>
          <w:t xml:space="preserve">https://doi.org/10.1021/acs.est.1c03940</w:t>
        </w:r>
      </w:hyperlink>
    </w:p>
    <w:bookmarkEnd w:id="70"/>
    <w:bookmarkStart w:id="72"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1">
        <w:r>
          <w:rPr>
            <w:rStyle w:val="Hyperlink"/>
          </w:rPr>
          <w:t xml:space="preserve">https://doi.org/10.1016/j.nbt.2011.05.010</w:t>
        </w:r>
      </w:hyperlink>
    </w:p>
    <w:bookmarkEnd w:id="72"/>
    <w:bookmarkStart w:id="74"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3">
        <w:r>
          <w:rPr>
            <w:rStyle w:val="Hyperlink"/>
          </w:rPr>
          <w:t xml:space="preserve">https://doi.org/10.1016/j.fuel.2023.127485</w:t>
        </w:r>
      </w:hyperlink>
    </w:p>
    <w:bookmarkEnd w:id="74"/>
    <w:bookmarkStart w:id="76"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5">
        <w:r>
          <w:rPr>
            <w:rStyle w:val="Hyperlink"/>
          </w:rPr>
          <w:t xml:space="preserve">https://doi.org/10.2225/vol10-issue3-fulltext-7</w:t>
        </w:r>
      </w:hyperlink>
    </w:p>
    <w:bookmarkEnd w:id="76"/>
    <w:bookmarkStart w:id="78"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7">
        <w:r>
          <w:rPr>
            <w:rStyle w:val="Hyperlink"/>
          </w:rPr>
          <w:t xml:space="preserve">https://doi.org/10.1007/s12649-018-00570-0</w:t>
        </w:r>
      </w:hyperlink>
    </w:p>
    <w:bookmarkEnd w:id="78"/>
    <w:bookmarkStart w:id="80"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79">
        <w:r>
          <w:rPr>
            <w:rStyle w:val="Hyperlink"/>
          </w:rPr>
          <w:t xml:space="preserve">https://doi.org/10.1016/j.btre.2015.11.002</w:t>
        </w:r>
      </w:hyperlink>
    </w:p>
    <w:bookmarkEnd w:id="80"/>
    <w:bookmarkStart w:id="82"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1">
        <w:r>
          <w:rPr>
            <w:rStyle w:val="Hyperlink"/>
          </w:rPr>
          <w:t xml:space="preserve">https://doi.org/10.1007/s12155-025-10820-4</w:t>
        </w:r>
      </w:hyperlink>
    </w:p>
    <w:bookmarkEnd w:id="82"/>
    <w:bookmarkStart w:id="84"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3">
        <w:r>
          <w:rPr>
            <w:rStyle w:val="Hyperlink"/>
          </w:rPr>
          <w:t xml:space="preserve">https://doi.org/10.1016/j.rser.2010.07.042</w:t>
        </w:r>
      </w:hyperlink>
    </w:p>
    <w:bookmarkEnd w:id="84"/>
    <w:bookmarkStart w:id="85"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5"/>
    <w:bookmarkStart w:id="87"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6">
        <w:r>
          <w:rPr>
            <w:rStyle w:val="Hyperlink"/>
          </w:rPr>
          <w:t xml:space="preserve">https://doi.org/10.6092/unibo/amsdottorato/7388</w:t>
        </w:r>
      </w:hyperlink>
    </w:p>
    <w:bookmarkEnd w:id="87"/>
    <w:bookmarkStart w:id="89"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8">
        <w:r>
          <w:rPr>
            <w:rStyle w:val="Hyperlink"/>
          </w:rPr>
          <w:t xml:space="preserve">https://doi.org/10.1016/j.biortech.2020.123359</w:t>
        </w:r>
      </w:hyperlink>
    </w:p>
    <w:bookmarkEnd w:id="89"/>
    <w:bookmarkStart w:id="91"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0">
        <w:r>
          <w:rPr>
            <w:rStyle w:val="Hyperlink"/>
          </w:rPr>
          <w:t xml:space="preserve">https://doi.org/10.1590/S1413-41522007000300002</w:t>
        </w:r>
      </w:hyperlink>
    </w:p>
    <w:bookmarkEnd w:id="91"/>
    <w:bookmarkStart w:id="93"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2">
        <w:r>
          <w:rPr>
            <w:rStyle w:val="Hyperlink"/>
          </w:rPr>
          <w:t xml:space="preserve">https://doi.org/10.1016/j.wasman.2018.04.038</w:t>
        </w:r>
      </w:hyperlink>
    </w:p>
    <w:bookmarkEnd w:id="93"/>
    <w:bookmarkStart w:id="95"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4">
        <w:r>
          <w:rPr>
            <w:rStyle w:val="Hyperlink"/>
          </w:rPr>
          <w:t xml:space="preserve">https://doi.org/10.55164/ajstr.v28i6.259743</w:t>
        </w:r>
      </w:hyperlink>
    </w:p>
    <w:bookmarkEnd w:id="95"/>
    <w:bookmarkStart w:id="97"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6">
        <w:r>
          <w:rPr>
            <w:rStyle w:val="Hyperlink"/>
          </w:rPr>
          <w:t xml:space="preserve">https://doi.org/10.3390/molecules30173655</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4" Target="media/rId54.jpg" /><Relationship Type="http://schemas.openxmlformats.org/officeDocument/2006/relationships/image" Id="rId51" Target="media/rId51.jpg" /><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2026-10-01T16:40:25Z</dcterms:created>
  <dcterms:modified xsi:type="dcterms:W3CDTF">2026-10-01T16:40:25Z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