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  <w:gridCol w:w="5328"/>
      </w:tblGrid>
      <w:tr>
        <w:tc>
          <w:tcPr>
            <w:tcW w:type="dxa" w:w="7128"/>
            <w:vAlign w:val="center"/>
            <w:tcBorders>
              <w:left w:val="single" w:sz="0" w:color="FFFFFF"/>
              <w:top w:val="single" w:sz="0" w:color="FFFFFF"/>
              <w:right w:val="single" w:sz="0" w:color="FFFFFF"/>
              <w:bottom w:val="single" w:sz="0" w:color="FFFFFF"/>
            </w:tcBorders>
            <w:shd w:fill="123B5D"/>
          </w:tcPr>
          <w:p>
            <w:pPr>
              <w:spacing w:before="0" w:after="80"/>
            </w:pPr>
            <w:r>
              <w:rPr>
                <w:rFonts w:ascii="Aptos" w:hAnsi="Aptos"/>
                <w:b/>
                <w:color w:val="FFFFFF"/>
                <w:sz w:val="62"/>
              </w:rPr>
              <w:t>CivicBridge</w:t>
            </w:r>
          </w:p>
          <w:p>
            <w:pPr>
              <w:spacing w:before="0" w:after="120"/>
            </w:pPr>
            <w:r>
              <w:rPr>
                <w:rFonts w:ascii="Aptos" w:hAnsi="Aptos"/>
                <w:b/>
                <w:color w:val="DDF6F3"/>
                <w:sz w:val="32"/>
              </w:rPr>
              <w:t>Resident Services Platform</w:t>
            </w:r>
          </w:p>
          <w:p>
            <w:pPr>
              <w:spacing w:before="0" w:after="240"/>
            </w:pPr>
            <w:r>
              <w:rPr>
                <w:rFonts w:ascii="Aptos" w:hAnsi="Aptos"/>
                <w:b w:val="0"/>
                <w:color w:val="E6EEF5"/>
                <w:sz w:val="24"/>
              </w:rPr>
              <w:t>A city-neutral digital platform for ayuda distribution, resident services, digital ID, and mobile self-service.</w:t>
            </w:r>
          </w:p>
          <w:p>
            <w:pPr>
              <w:spacing w:before="0" w:after="60"/>
            </w:pPr>
            <w:r>
              <w:rPr>
                <w:rFonts w:ascii="Aptos" w:hAnsi="Aptos"/>
                <w:b w:val="0"/>
                <w:color w:val="FFFFFF"/>
                <w:sz w:val="22"/>
              </w:rPr>
              <w:t>• Built for cities and municipalities</w:t>
            </w:r>
          </w:p>
          <w:p>
            <w:pPr>
              <w:spacing w:before="0" w:after="60"/>
            </w:pPr>
            <w:r>
              <w:rPr>
                <w:rFonts w:ascii="Aptos" w:hAnsi="Aptos"/>
                <w:b w:val="0"/>
                <w:color w:val="FFFFFF"/>
                <w:sz w:val="22"/>
              </w:rPr>
              <w:t>• Web portal for staff and administrators</w:t>
            </w:r>
          </w:p>
          <w:p>
            <w:pPr>
              <w:spacing w:before="0" w:after="60"/>
            </w:pPr>
            <w:r>
              <w:rPr>
                <w:rFonts w:ascii="Aptos" w:hAnsi="Aptos"/>
                <w:b w:val="0"/>
                <w:color w:val="FFFFFF"/>
                <w:sz w:val="22"/>
              </w:rPr>
              <w:t>• Mobile app for residents</w:t>
            </w:r>
          </w:p>
        </w:tc>
        <w:tc>
          <w:tcPr>
            <w:tcW w:type="dxa" w:w="7128"/>
            <w:vAlign w:val="center"/>
            <w:tcBorders>
              <w:left w:val="single" w:sz="0" w:color="FFFFFF"/>
              <w:top w:val="single" w:sz="0" w:color="FFFFFF"/>
              <w:right w:val="single" w:sz="0" w:color="FFFFFF"/>
              <w:bottom w:val="single" w:sz="0" w:color="FFFFFF"/>
            </w:tcBorders>
            <w:shd w:fill="EEF8F7"/>
          </w:tcPr>
          <w:p>
            <w:pPr>
              <w:spacing w:before="0" w:after="160"/>
              <w:jc w:val="center"/>
            </w:pPr>
            <w:r>
              <w:rPr>
                <w:rFonts w:ascii="Aptos" w:hAnsi="Aptos"/>
                <w:b/>
                <w:color w:val="0F172A"/>
                <w:sz w:val="34"/>
              </w:rPr>
              <w:t>Presentation-ready brochure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160"/>
              <w:gridCol w:w="2376"/>
            </w:tblGrid>
            <w:tr>
              <w:tc>
                <w:tcPr>
                  <w:tcW w:type="dxa" w:w="3564"/>
                  <w:shd w:fill="FFFFFF"/>
                  <w:tcBorders>
                    <w:left w:val="single" w:sz="6" w:color="D7E1EA"/>
                    <w:top w:val="single" w:sz="6" w:color="D7E1EA"/>
                    <w:right w:val="single" w:sz="6" w:color="D7E1EA"/>
                    <w:bottom w:val="single" w:sz="6" w:color="D7E1EA"/>
                  </w:tcBorders>
                  <w:vAlign w:val="center"/>
                </w:tcPr>
                <w:p>
                  <w:pPr>
                    <w:spacing w:before="0" w:after="20"/>
                  </w:pPr>
                  <w:r>
                    <w:rPr>
                      <w:rFonts w:ascii="Aptos" w:hAnsi="Aptos"/>
                      <w:b w:val="0"/>
                      <w:color w:val="475569"/>
                      <w:sz w:val="21"/>
                    </w:rPr>
                    <w:t>Core modules</w:t>
                  </w:r>
                </w:p>
              </w:tc>
              <w:tc>
                <w:tcPr>
                  <w:tcW w:type="dxa" w:w="3564"/>
                  <w:shd w:fill="FFFFFF"/>
                  <w:tcBorders>
                    <w:left w:val="single" w:sz="6" w:color="D7E1EA"/>
                    <w:top w:val="single" w:sz="6" w:color="D7E1EA"/>
                    <w:right w:val="single" w:sz="6" w:color="D7E1EA"/>
                    <w:bottom w:val="single" w:sz="6" w:color="D7E1EA"/>
                  </w:tcBorders>
                  <w:vAlign w:val="center"/>
                </w:tcPr>
                <w:p>
                  <w:pPr>
                    <w:spacing w:before="0" w:after="20"/>
                    <w:jc w:val="right"/>
                  </w:pPr>
                  <w:r>
                    <w:rPr>
                      <w:rFonts w:ascii="Aptos" w:hAnsi="Aptos"/>
                      <w:b/>
                      <w:color w:val="123B5D"/>
                      <w:sz w:val="24"/>
                    </w:rPr>
                    <w:t>20+</w:t>
                  </w:r>
                </w:p>
              </w:tc>
            </w:tr>
            <w:tr>
              <w:tc>
                <w:tcPr>
                  <w:tcW w:type="dxa" w:w="3564"/>
                  <w:shd w:fill="FFFFFF"/>
                  <w:tcBorders>
                    <w:left w:val="single" w:sz="6" w:color="D7E1EA"/>
                    <w:top w:val="single" w:sz="6" w:color="D7E1EA"/>
                    <w:right w:val="single" w:sz="6" w:color="D7E1EA"/>
                    <w:bottom w:val="single" w:sz="6" w:color="D7E1EA"/>
                  </w:tcBorders>
                  <w:vAlign w:val="center"/>
                </w:tcPr>
                <w:p>
                  <w:pPr>
                    <w:spacing w:before="0" w:after="20"/>
                  </w:pPr>
                  <w:r>
                    <w:rPr>
                      <w:rFonts w:ascii="Aptos" w:hAnsi="Aptos"/>
                      <w:b w:val="0"/>
                      <w:color w:val="475569"/>
                      <w:sz w:val="21"/>
                    </w:rPr>
                    <w:t>Mobile support</w:t>
                  </w:r>
                </w:p>
              </w:tc>
              <w:tc>
                <w:tcPr>
                  <w:tcW w:type="dxa" w:w="3564"/>
                  <w:shd w:fill="FFFFFF"/>
                  <w:tcBorders>
                    <w:left w:val="single" w:sz="6" w:color="D7E1EA"/>
                    <w:top w:val="single" w:sz="6" w:color="D7E1EA"/>
                    <w:right w:val="single" w:sz="6" w:color="D7E1EA"/>
                    <w:bottom w:val="single" w:sz="6" w:color="D7E1EA"/>
                  </w:tcBorders>
                  <w:vAlign w:val="center"/>
                </w:tcPr>
                <w:p>
                  <w:pPr>
                    <w:spacing w:before="0" w:after="20"/>
                    <w:jc w:val="right"/>
                  </w:pPr>
                  <w:r>
                    <w:rPr>
                      <w:rFonts w:ascii="Aptos" w:hAnsi="Aptos"/>
                      <w:b/>
                      <w:color w:val="123B5D"/>
                      <w:sz w:val="24"/>
                    </w:rPr>
                    <w:t>Offline-ready</w:t>
                  </w:r>
                </w:p>
              </w:tc>
            </w:tr>
            <w:tr>
              <w:tc>
                <w:tcPr>
                  <w:tcW w:type="dxa" w:w="3564"/>
                  <w:shd w:fill="FFFFFF"/>
                  <w:tcBorders>
                    <w:left w:val="single" w:sz="6" w:color="D7E1EA"/>
                    <w:top w:val="single" w:sz="6" w:color="D7E1EA"/>
                    <w:right w:val="single" w:sz="6" w:color="D7E1EA"/>
                    <w:bottom w:val="single" w:sz="6" w:color="D7E1EA"/>
                  </w:tcBorders>
                  <w:vAlign w:val="center"/>
                </w:tcPr>
                <w:p>
                  <w:pPr>
                    <w:spacing w:before="0" w:after="20"/>
                  </w:pPr>
                  <w:r>
                    <w:rPr>
                      <w:rFonts w:ascii="Aptos" w:hAnsi="Aptos"/>
                      <w:b w:val="0"/>
                      <w:color w:val="475569"/>
                      <w:sz w:val="21"/>
                    </w:rPr>
                    <w:t>Audience</w:t>
                  </w:r>
                </w:p>
              </w:tc>
              <w:tc>
                <w:tcPr>
                  <w:tcW w:type="dxa" w:w="3564"/>
                  <w:shd w:fill="FFFFFF"/>
                  <w:tcBorders>
                    <w:left w:val="single" w:sz="6" w:color="D7E1EA"/>
                    <w:top w:val="single" w:sz="6" w:color="D7E1EA"/>
                    <w:right w:val="single" w:sz="6" w:color="D7E1EA"/>
                    <w:bottom w:val="single" w:sz="6" w:color="D7E1EA"/>
                  </w:tcBorders>
                  <w:vAlign w:val="center"/>
                </w:tcPr>
                <w:p>
                  <w:pPr>
                    <w:spacing w:before="0" w:after="20"/>
                    <w:jc w:val="right"/>
                  </w:pPr>
                  <w:r>
                    <w:rPr>
                      <w:rFonts w:ascii="Aptos" w:hAnsi="Aptos"/>
                      <w:b/>
                      <w:color w:val="123B5D"/>
                      <w:sz w:val="24"/>
                    </w:rPr>
                    <w:t>Cities / Municipalities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120"/>
      </w:pPr>
      <w:r>
        <w:rPr>
          <w:rFonts w:ascii="Aptos" w:hAnsi="Aptos"/>
          <w:b/>
          <w:color w:val="123B5D"/>
          <w:sz w:val="38"/>
        </w:rPr>
        <w:t>Positioning</w:t>
      </w:r>
    </w:p>
    <w:p>
      <w:pPr>
        <w:spacing w:before="0" w:after="160"/>
      </w:pPr>
      <w:r>
        <w:rPr>
          <w:rFonts w:ascii="Aptos" w:hAnsi="Aptos"/>
          <w:b w:val="0"/>
          <w:color w:val="475569"/>
          <w:sz w:val="22"/>
        </w:rPr>
        <w:t>This brochure speaks like a market-facing public-sector proposal, not a feature inventory.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7128"/>
            <w:shd w:fill="F8FBFD"/>
            <w:tcBorders>
              <w:left w:val="single" w:sz="6" w:color="D7E1EA"/>
              <w:top w:val="single" w:sz="6" w:color="D7E1EA"/>
              <w:right w:val="single" w:sz="6" w:color="D7E1EA"/>
              <w:bottom w:val="single" w:sz="6" w:color="D7E1EA"/>
            </w:tcBorders>
            <w:vAlign w:val="top"/>
          </w:tcPr>
          <w:p>
            <w:pPr>
              <w:spacing w:before="0" w:after="40"/>
            </w:pPr>
            <w:r>
              <w:rPr>
                <w:rFonts w:ascii="Aptos" w:hAnsi="Aptos"/>
                <w:b/>
                <w:color w:val="123B5D"/>
                <w:sz w:val="25"/>
              </w:rPr>
              <w:t>Resident-first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334155"/>
                <w:sz w:val="21"/>
              </w:rPr>
              <w:t>Residents can view Digital ID, announcements, notifications, ayuda status, profile details, and household information in one mobile experience.</w:t>
            </w:r>
          </w:p>
        </w:tc>
        <w:tc>
          <w:tcPr>
            <w:tcW w:type="dxa" w:w="7128"/>
            <w:shd w:fill="F8FBFD"/>
            <w:tcBorders>
              <w:left w:val="single" w:sz="6" w:color="D7E1EA"/>
              <w:top w:val="single" w:sz="6" w:color="D7E1EA"/>
              <w:right w:val="single" w:sz="6" w:color="D7E1EA"/>
              <w:bottom w:val="single" w:sz="6" w:color="D7E1EA"/>
            </w:tcBorders>
            <w:vAlign w:val="top"/>
          </w:tcPr>
          <w:p>
            <w:pPr>
              <w:spacing w:before="0" w:after="40"/>
            </w:pPr>
            <w:r>
              <w:rPr>
                <w:rFonts w:ascii="Aptos" w:hAnsi="Aptos"/>
                <w:b/>
                <w:color w:val="123B5D"/>
                <w:sz w:val="25"/>
              </w:rPr>
              <w:t>Staff-ready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334155"/>
                <w:sz w:val="21"/>
              </w:rPr>
              <w:t>Administrators can manage residents, households, ayuda releases, distributions, batches, reports, and access control from one web portal.</w:t>
            </w:r>
          </w:p>
        </w:tc>
      </w:tr>
      <w:tr>
        <w:tc>
          <w:tcPr>
            <w:tcW w:type="dxa" w:w="7128"/>
            <w:shd w:fill="F8FBFD"/>
            <w:tcBorders>
              <w:left w:val="single" w:sz="6" w:color="D7E1EA"/>
              <w:top w:val="single" w:sz="6" w:color="D7E1EA"/>
              <w:right w:val="single" w:sz="6" w:color="D7E1EA"/>
              <w:bottom w:val="single" w:sz="6" w:color="D7E1EA"/>
            </w:tcBorders>
            <w:vAlign w:val="top"/>
          </w:tcPr>
          <w:p>
            <w:pPr>
              <w:spacing w:before="0" w:after="40"/>
            </w:pPr>
            <w:r>
              <w:rPr>
                <w:rFonts w:ascii="Aptos" w:hAnsi="Aptos"/>
                <w:b/>
                <w:color w:val="123B5D"/>
                <w:sz w:val="25"/>
              </w:rPr>
              <w:t>Transparent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334155"/>
                <w:sz w:val="21"/>
              </w:rPr>
              <w:t>Verification, QR scanning, audit logs, and release tracking help local government teams show accountability.</w:t>
            </w:r>
          </w:p>
        </w:tc>
        <w:tc>
          <w:tcPr>
            <w:tcW w:type="dxa" w:w="7128"/>
            <w:shd w:fill="F8FBFD"/>
            <w:tcBorders>
              <w:left w:val="single" w:sz="6" w:color="D7E1EA"/>
              <w:top w:val="single" w:sz="6" w:color="D7E1EA"/>
              <w:right w:val="single" w:sz="6" w:color="D7E1EA"/>
              <w:bottom w:val="single" w:sz="6" w:color="D7E1EA"/>
            </w:tcBorders>
            <w:vAlign w:val="top"/>
          </w:tcPr>
          <w:p>
            <w:pPr>
              <w:spacing w:before="0" w:after="40"/>
            </w:pPr>
            <w:r>
              <w:rPr>
                <w:rFonts w:ascii="Aptos" w:hAnsi="Aptos"/>
                <w:b/>
                <w:color w:val="123B5D"/>
                <w:sz w:val="25"/>
              </w:rPr>
              <w:t>Adaptable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334155"/>
                <w:sz w:val="21"/>
              </w:rPr>
              <w:t>Generic title and language make the brochure suitable for other cities and municipalities.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ptos" w:hAnsi="Aptos"/>
          <w:b/>
          <w:color w:val="123B5D"/>
          <w:sz w:val="38"/>
        </w:rPr>
        <w:t>Core Platform Capabilities</w:t>
      </w:r>
    </w:p>
    <w:p>
      <w:pPr>
        <w:spacing w:before="0" w:after="160"/>
      </w:pPr>
      <w:r>
        <w:rPr>
          <w:rFonts w:ascii="Aptos" w:hAnsi="Aptos"/>
          <w:b w:val="0"/>
          <w:color w:val="475569"/>
          <w:sz w:val="22"/>
        </w:rPr>
        <w:t>The brochure now groups the complete feature set into clear selling pillars.</w:t>
      </w:r>
    </w:p>
    <w:p>
      <w:pPr>
        <w:spacing w:before="120" w:after="40"/>
      </w:pPr>
      <w:r>
        <w:rPr>
          <w:rFonts w:ascii="Aptos" w:hAnsi="Aptos"/>
          <w:b/>
          <w:color w:val="0F172A"/>
          <w:sz w:val="26"/>
        </w:rPr>
        <w:t>Resident Services</w:t>
      </w:r>
    </w:p>
    <w:p>
      <w:pPr>
        <w:spacing w:before="0" w:after="40"/>
        <w:ind w:left="216"/>
      </w:pPr>
      <w:r>
        <w:rPr>
          <w:rFonts w:ascii="Aptos" w:hAnsi="Aptos"/>
          <w:b w:val="0"/>
          <w:color w:val="334155"/>
          <w:sz w:val="21"/>
        </w:rPr>
        <w:t>• Resident registration, profiles, demographic data, special sector flags, photos, signatures, QR codes, and ID cards</w:t>
      </w:r>
    </w:p>
    <w:p>
      <w:pPr>
        <w:spacing w:before="0" w:after="40"/>
        <w:ind w:left="216"/>
      </w:pPr>
      <w:r>
        <w:rPr>
          <w:rFonts w:ascii="Aptos" w:hAnsi="Aptos"/>
          <w:b w:val="0"/>
          <w:color w:val="334155"/>
          <w:sz w:val="21"/>
        </w:rPr>
        <w:t>• Household registration, member assignment, PSGC location fields, utilities, and household QR codes</w:t>
      </w:r>
    </w:p>
    <w:p>
      <w:pPr>
        <w:spacing w:before="120" w:after="40"/>
      </w:pPr>
      <w:r>
        <w:rPr>
          <w:rFonts w:ascii="Aptos" w:hAnsi="Aptos"/>
          <w:b/>
          <w:color w:val="0F172A"/>
          <w:sz w:val="26"/>
        </w:rPr>
        <w:t>Ayuda Operations</w:t>
      </w:r>
    </w:p>
    <w:p>
      <w:pPr>
        <w:spacing w:before="0" w:after="40"/>
        <w:ind w:left="216"/>
      </w:pPr>
      <w:r>
        <w:rPr>
          <w:rFonts w:ascii="Aptos" w:hAnsi="Aptos"/>
          <w:b w:val="0"/>
          <w:color w:val="334155"/>
          <w:sz w:val="21"/>
        </w:rPr>
        <w:t>• Ayuda program setup, eligibility criteria, budget tracking, beneficiary limits, scheduling, and status lifecycle</w:t>
      </w:r>
    </w:p>
    <w:p>
      <w:pPr>
        <w:spacing w:before="0" w:after="40"/>
        <w:ind w:left="216"/>
      </w:pPr>
      <w:r>
        <w:rPr>
          <w:rFonts w:ascii="Aptos" w:hAnsi="Aptos"/>
          <w:b w:val="0"/>
          <w:color w:val="334155"/>
          <w:sz w:val="21"/>
        </w:rPr>
        <w:t>• Distribution management, batch processing, verification, receipts, and release tracking</w:t>
      </w:r>
    </w:p>
    <w:p>
      <w:pPr>
        <w:spacing w:before="120" w:after="40"/>
      </w:pPr>
      <w:r>
        <w:rPr>
          <w:rFonts w:ascii="Aptos" w:hAnsi="Aptos"/>
          <w:b/>
          <w:color w:val="0F172A"/>
          <w:sz w:val="26"/>
        </w:rPr>
        <w:t>Resident Mobile App</w:t>
      </w:r>
    </w:p>
    <w:p>
      <w:pPr>
        <w:spacing w:before="0" w:after="40"/>
        <w:ind w:left="216"/>
      </w:pPr>
      <w:r>
        <w:rPr>
          <w:rFonts w:ascii="Aptos" w:hAnsi="Aptos"/>
          <w:b w:val="0"/>
          <w:color w:val="334155"/>
          <w:sz w:val="21"/>
        </w:rPr>
        <w:t>• Digital ID card, QR display, announcements, notifications, profile self-service, and offline cached access</w:t>
      </w:r>
    </w:p>
    <w:p>
      <w:pPr>
        <w:spacing w:before="0" w:after="40"/>
        <w:ind w:left="216"/>
      </w:pPr>
      <w:r>
        <w:rPr>
          <w:rFonts w:ascii="Aptos" w:hAnsi="Aptos"/>
          <w:b w:val="0"/>
          <w:color w:val="334155"/>
          <w:sz w:val="21"/>
        </w:rPr>
        <w:t>• Ayuda summary, distribution history, household details, and session management</w:t>
      </w:r>
    </w:p>
    <w:p>
      <w:pPr>
        <w:spacing w:before="120" w:after="40"/>
      </w:pPr>
      <w:r>
        <w:rPr>
          <w:rFonts w:ascii="Aptos" w:hAnsi="Aptos"/>
          <w:b/>
          <w:color w:val="0F172A"/>
          <w:sz w:val="26"/>
        </w:rPr>
        <w:t>Civic Engagement</w:t>
      </w:r>
    </w:p>
    <w:p>
      <w:pPr>
        <w:spacing w:before="0" w:after="40"/>
        <w:ind w:left="216"/>
      </w:pPr>
      <w:r>
        <w:rPr>
          <w:rFonts w:ascii="Aptos" w:hAnsi="Aptos"/>
          <w:b w:val="0"/>
          <w:color w:val="334155"/>
          <w:sz w:val="21"/>
        </w:rPr>
        <w:t>• Announcements, public services, grievances, emergency alerts, scholarship workflows, support requests, polls, and sentiment features</w:t>
      </w:r>
    </w:p>
    <w:p>
      <w:pPr>
        <w:spacing w:before="0" w:after="40"/>
        <w:ind w:left="216"/>
      </w:pPr>
      <w:r>
        <w:rPr>
          <w:rFonts w:ascii="Aptos" w:hAnsi="Aptos"/>
          <w:b w:val="0"/>
          <w:color w:val="334155"/>
          <w:sz w:val="21"/>
        </w:rPr>
        <w:t>• User roles, permissions, audit trail, reporting, exports, and dashboard analytics</w:t>
      </w:r>
    </w:p>
    <w:p>
      <w:r>
        <w:br w:type="page"/>
      </w:r>
    </w:p>
    <w:p>
      <w:pPr>
        <w:spacing w:before="0" w:after="120"/>
      </w:pPr>
      <w:r>
        <w:rPr>
          <w:rFonts w:ascii="Aptos" w:hAnsi="Aptos"/>
          <w:b/>
          <w:color w:val="123B5D"/>
          <w:sz w:val="38"/>
        </w:rPr>
        <w:t>Marketing Message</w:t>
      </w:r>
    </w:p>
    <w:p>
      <w:pPr>
        <w:spacing w:before="0" w:after="160"/>
      </w:pPr>
      <w:r>
        <w:rPr>
          <w:rFonts w:ascii="Aptos" w:hAnsi="Aptos"/>
          <w:b w:val="0"/>
          <w:color w:val="475569"/>
          <w:sz w:val="22"/>
        </w:rPr>
        <w:t>Use this language when presenting to other LGUs.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4256"/>
            <w:shd w:fill="123B5D"/>
            <w:tcBorders>
              <w:left w:val="single" w:sz="8" w:color="123B5D"/>
              <w:top w:val="single" w:sz="8" w:color="123B5D"/>
              <w:right w:val="single" w:sz="8" w:color="123B5D"/>
              <w:bottom w:val="single" w:sz="8" w:color="123B5D"/>
            </w:tcBorders>
          </w:tcPr>
          <w:p>
            <w:pPr>
              <w:spacing w:before="0" w:after="80"/>
            </w:pPr>
            <w:r>
              <w:rPr>
                <w:rFonts w:ascii="Aptos" w:hAnsi="Aptos"/>
                <w:b/>
                <w:color w:val="FFFFFF"/>
                <w:sz w:val="34"/>
              </w:rPr>
              <w:t>CivicBridge gives local governments a modern resident services platform with the structure of an enterprise system and the accessibility of a mobile app.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E5EEF4"/>
                <w:sz w:val="23"/>
              </w:rPr>
              <w:t>It is designed to help a city or municipality communicate better with residents, run ayuda more efficiently, and present a credible digital transformation story.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7128"/>
            <w:shd w:fill="FFFFFF"/>
            <w:tcBorders>
              <w:left w:val="single" w:sz="6" w:color="D7E1EA"/>
              <w:top w:val="single" w:sz="6" w:color="D7E1EA"/>
              <w:right w:val="single" w:sz="6" w:color="D7E1EA"/>
              <w:bottom w:val="single" w:sz="6" w:color="D7E1EA"/>
            </w:tcBorders>
          </w:tcPr>
          <w:p>
            <w:pPr>
              <w:spacing w:before="0" w:after="40"/>
            </w:pPr>
            <w:r>
              <w:rPr>
                <w:rFonts w:ascii="Aptos" w:hAnsi="Aptos"/>
                <w:b/>
                <w:color w:val="123B5D"/>
                <w:sz w:val="24"/>
              </w:rPr>
              <w:t>Best fit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334155"/>
                <w:sz w:val="21"/>
              </w:rPr>
              <w:t>City governments, municipal governments, barangay offices, and social welfare teams.</w:t>
            </w:r>
          </w:p>
        </w:tc>
        <w:tc>
          <w:tcPr>
            <w:tcW w:type="dxa" w:w="7128"/>
            <w:shd w:fill="FFFFFF"/>
            <w:tcBorders>
              <w:left w:val="single" w:sz="6" w:color="D7E1EA"/>
              <w:top w:val="single" w:sz="6" w:color="D7E1EA"/>
              <w:right w:val="single" w:sz="6" w:color="D7E1EA"/>
              <w:bottom w:val="single" w:sz="6" w:color="D7E1EA"/>
            </w:tcBorders>
          </w:tcPr>
          <w:p>
            <w:pPr>
              <w:spacing w:before="0" w:after="40"/>
            </w:pPr>
            <w:r>
              <w:rPr>
                <w:rFonts w:ascii="Aptos" w:hAnsi="Aptos"/>
                <w:b/>
                <w:color w:val="123B5D"/>
                <w:sz w:val="24"/>
              </w:rPr>
              <w:t>Suggested title options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334155"/>
                <w:sz w:val="21"/>
              </w:rPr>
              <w:t>CivicBridge, CitizenConnect, or CommunityLink.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