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lef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Всего стоимость работ: 0,00 руб.</w:t>
      </w:r>
    </w:p>
    <w:p>
      <w:pPr>
        <w:jc w:val="lef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том числе: на 2025 год: 0,00 руб.</w:t>
      </w:r>
    </w:p>
    <w:p>
      <w:pPr>
        <w:jc w:val="lef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2026 год: 0,00 руб.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2953" w:type="dxa"/>
        <w:gridCol w:w="1351" w:type="dxa"/>
        <w:gridCol w:w="1441" w:type="dxa"/>
        <w:gridCol w:w="1441" w:type="dxa"/>
        <w:gridCol w:w="1182" w:type="dxa"/>
        <w:gridCol w:w="1182" w:type="dxa"/>
        <w:gridCol w:w="2557" w:type="dxa"/>
        <w:gridCol w:w="230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  <w:tblHeader w:val="1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295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3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30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5854" w:type="dxa"/>
            <w:vAlign w:val="center"/>
            <w:gridSpan w:val="9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Блок 2.01 Основные положения надежности зданий и сооружений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295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3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33 стр.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30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400" w:hRule="atLeast"/>
          <w:tblHeader w:val="1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295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3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30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5854" w:type="dxa"/>
            <w:vAlign w:val="center"/>
            <w:gridSpan w:val="9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Блок 4.02 Теплоснабжение и холодоснабжение, отопление, вентиляция и кондиционирование воздуха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2.4.02.1</w:t>
            </w:r>
          </w:p>
        </w:tc>
        <w:tc>
          <w:tcPr>
            <w:tcW w:w="295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 3</w:t>
            </w:r>
          </w:p>
        </w:tc>
        <w:tc>
          <w:tcPr>
            <w:tcW w:w="13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33 стр.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Июль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№20</w:t>
            </w:r>
          </w:p>
        </w:tc>
        <w:tc>
          <w:tcPr>
            <w:tcW w:w="230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400" w:hRule="atLeast"/>
          <w:tblHeader w:val="1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295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3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30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5854" w:type="dxa"/>
            <w:vAlign w:val="center"/>
            <w:gridSpan w:val="9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Блок 1.01 Техническое нормирование, стандартизация, сертификация и метрология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295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3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3324 стр.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30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2025-11-03T18:43:32+00:00</dcterms:created>
  <dcterms:modified xsi:type="dcterms:W3CDTF">2025-11-03T18:43:32+00:00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