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00" w:line="25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STR SOFTWARE</w:t>
      </w: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b/>
          <w:color w:val="17365D"/>
          <w:spacing w:val="5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b/>
          <w:color w:val="17365D"/>
          <w:spacing w:val="5"/>
          <w:position w:val="0"/>
          <w:sz w:val="44"/>
          <w:shd w:fill="auto" w:val="clear"/>
        </w:rPr>
        <w:t xml:space="preserve">Relatório Preliminar de Solução</w:t>
        <w:br/>
        <w:t xml:space="preserve">Integrada MPROJ</w:t>
      </w:r>
    </w:p>
    <w:p>
      <w:pPr>
        <w:spacing w:before="0" w:after="100" w:line="25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Análise de aderência, arquitetura, fases, prazo, investimento, implantação, treinamento, APIs, integrações e suporte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100" w:line="25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19"/>
          <w:shd w:fill="auto" w:val="clear"/>
        </w:rPr>
        <w:t xml:space="preserve">Base documental: Levantamento de Requisitos para Contratação e Implantação de Sistema de Gestão Integrada + Inventário funcional STR de 04/10/2026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100" w:line="25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  <w:t xml:space="preserve">Versão 1 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• 5 de outubro de 2026 • Documento para revis</w:t>
      </w:r>
      <w:r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  <w:t xml:space="preserve">ão interna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</w:p>
    <w:p>
      <w:pPr>
        <w:keepNext w:val="true"/>
        <w:keepLines w:val="true"/>
        <w:spacing w:before="480" w:after="0" w:line="259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1. Sumário executivo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 MPROJ busca uma solução integrada que conecte o ciclo comercial e operacional, desde a oportunidade e proposta até contrato, projeto, planejamento, recursos, horas, custos, faturamento e indicadores. O objetivo declarado é reduzir a fragmentação de ferramentas, eliminar controles paralelos, reduzir lançamentos duplicados, automatizar processos entre departamentos e aumentar a rastreabilidade.</w:t>
      </w:r>
    </w:p>
    <w:p>
      <w:pPr>
        <w:spacing w:before="120" w:after="160" w:line="276"/>
        <w:ind w:right="360" w:left="36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  <w:t xml:space="preserve">Classificação do projeto: baixo/médio volume de usuários, porém alta complexidade funcional e de integração.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 STR já possui uma fundação relevante modelada: identidade, sessões, módulos, perfis e permissões, projetos, fases, tarefas, dependências, entregáveis, documentos, reuniões, aprovações, recursos, horas, orçamento e operações financeiras. Entretanto, grande parte desses domínios ainda está em estado modelado, não devendo ser apresentada como funcionalidade operacional concluída.</w:t>
      </w:r>
    </w:p>
    <w:tbl>
      <w:tblPr/>
      <w:tblGrid>
        <w:gridCol w:w="5040"/>
        <w:gridCol w:w="5040"/>
      </w:tblGrid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Indicador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Estimativa preliminar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Discovery e arquitetura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3 a 4 semanas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MVP/Core operacional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5 a 7 meses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Programa integral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9 a 12 meses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Investimento integral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R$ 350 mil a R$ 500 mil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Estratégia de implantação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Incremental, por releases; evitar Big Bang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Arquitetura recomendada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Monólito modular + camada de integração resiliente</w:t>
            </w:r>
          </w:p>
        </w:tc>
      </w:tr>
    </w:tbl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As estimativas acima são de pré-discovery. Não constituem proposta comercial fechada. Prazo e preço definitivos dependem principalmente da decisão da MPROJ sobre quais sistemas atuais serão mantidos, integrados ou substituídos, da matriz real de usuários e permissões, das regras de aprovação e do volume/qualidade dos dados a migrar.</w:t>
      </w:r>
    </w:p>
    <w:p>
      <w:pPr>
        <w:keepNext w:val="true"/>
        <w:keepLines w:val="true"/>
        <w:spacing w:before="480" w:after="0" w:line="259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2. Dores e objetivos identificados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Fragmentação entre Microsoft Project, Excel, sistema próprio de horas, Power BI, Omie, SharePoint, Tique-Taque e Microsoft 365.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Controles paralelos e retrabalho entre áreas.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Lançamentos duplicados e baixa rastreabilidade ponta a ponta.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Ausência atual de CRM integrado ao nascimento do projeto.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Necessidade de gestão simultânea de projetos, disciplinas, recursos, cronogramas, horas, custos e faturamento.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Necessidade de relacionar horas e produtividade com custos e resultado do projeto.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Indicadores gerenciais em tempo real e painéis por área.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Necessidade de workflows de aprovação, auditoria e controle de acesso.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Necessidade de integrar áreas técnicas e administrativas sem expor todos os módulos a todos os usuários.</w:t>
      </w:r>
    </w:p>
    <w:p>
      <w:pPr>
        <w:keepNext w:val="true"/>
        <w:keepLines w:val="true"/>
        <w:spacing w:before="480" w:after="0" w:line="259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3. Usuários, perfis e experiência de acesso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 MPROJ informa 27 colaboradores, com 25 usuários de apontamento de horas, 5 em Gestão de Projetos, 3 no Comercial, 2 em RH, 1 em TI e 1 no Financeiro. Esses números possuem sobreposição; portanto, não devem ser tratados como licenças independentes sem uma matriz de usuários.</w:t>
      </w:r>
    </w:p>
    <w:tbl>
      <w:tblPr/>
      <w:tblGrid>
        <w:gridCol w:w="3360"/>
        <w:gridCol w:w="3360"/>
        <w:gridCol w:w="3360"/>
      </w:tblGrid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Perfil funcional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Workspace predominante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Acessos prioritários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Colaborador técnico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Meu trabalho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Tarefas, horas, entregas, documentos e despesas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Coordenador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Projetos/equipe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Projetos, equipe, horas, entregas e aprovações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Planejador/Gestor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Controle de projetos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EAP, cronograma, recursos, baseline e indicadores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Comercial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Pipeline comercial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Leads, oportunidades, propostas, contratos e indicadores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Financeiro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Gestão econômico-financeira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Custos, títulos, caixa, centros de custo e resultado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RH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Pessoas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Colaboradores, jornada, férias, documentos e treinamentos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Diretoria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Visão executiva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KPIs, projetos críticos, margem, produtividade e desvios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TI/Admin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Administração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Usuários, módulos, permissões, integrações e auditoria</w:t>
            </w:r>
          </w:p>
        </w:tc>
      </w:tr>
    </w:tbl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 recomendação é manter a filosofia de revelação progressiva já prevista pela STR: a aplicação apresenta ações e informações conforme perfil, permissão, participação no projeto, pré-requisitos e etapa do processo. Os 64 modelos existentes não devem se transformar em 64 telas.</w:t>
      </w:r>
    </w:p>
    <w:p>
      <w:pPr>
        <w:keepNext w:val="true"/>
        <w:keepLines w:val="true"/>
        <w:spacing w:before="480" w:after="0" w:line="259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4. Construir, integrar ou confirmar no Discovery</w:t>
      </w:r>
    </w:p>
    <w:tbl>
      <w:tblPr/>
      <w:tblGrid>
        <w:gridCol w:w="3360"/>
        <w:gridCol w:w="3360"/>
        <w:gridCol w:w="3360"/>
      </w:tblGrid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Domínio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Estratégia preliminar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Observação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CRM/comercial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Construir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Não há CRM atual; criar lead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6"/>
                <w:shd w:fill="auto" w:val="clear"/>
              </w:rPr>
              <w:t xml:space="preserve">→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 oportunidade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6"/>
                <w:shd w:fill="auto" w:val="clear"/>
              </w:rPr>
              <w:t xml:space="preserve">→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 proposta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6"/>
                <w:shd w:fill="auto" w:val="clear"/>
              </w:rPr>
              <w:t xml:space="preserve">→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 contrato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6"/>
                <w:shd w:fill="auto" w:val="clear"/>
              </w:rPr>
              <w:t xml:space="preserve">→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 projeto.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Gestão de projetos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Construir/evoluir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Reutilizar modelos existentes; completar serviços, regras e UI.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Planejamento/EAP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Construir/evoluir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Gap relevante: baseline, caminho crítico, EAP e motor de planejamento.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Recursos e horas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Construir/evoluir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Alta prioridade; 25 de 27 colaboradores apontam horas.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Financeiro de projetos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Construir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Custos, orçamento, resultado e centros de custo devem estar ligados ao projeto.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ERP fiscal/contábil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Integrar inicialmente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Avaliar manutenção do Omie; evitar reconstruir ERP fiscal sem justificativa.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Documentos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Confirmar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Avaliar SharePoint como repositório e MPROJ como camada de contexto/governança.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BI avançado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Integrar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Dashboards operacionais no MPROJ; Power BI para analytics avançado.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Ponto/jornada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Confirmar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Definir manter/integrar/substituir Tique-Taque.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RH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Construir por fases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Cadastro, jornada, férias, documentos, treinamentos e avaliações.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Viagens/despesas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Construir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Solicitação, comprovantes, quilometragem, reembolso e aprovação.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Microsoft Project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Integrar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Importação/exportação obrigatória; avaliar divisão de responsabilidades do cronograma.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Microsoft 365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Integrar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Outlook, Teams e Power Automate conforme casos de uso validados.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Assinatura eletrônica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Integrar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Selecionar fornecedor durante Discovery.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NF-e/NFS-e e bancos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Integrar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Dependência do desenho financeiro/ERP.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WhatsApp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Opcional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Desejável, não essencial; definir casos de uso.</w:t>
            </w:r>
          </w:p>
        </w:tc>
      </w:tr>
    </w:tbl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</w:p>
    <w:p>
      <w:pPr>
        <w:keepNext w:val="true"/>
        <w:keepLines w:val="true"/>
        <w:spacing w:before="480" w:after="0" w:line="259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5. Arquitetura recomendada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Recomenda-se preservar o monólito modular já definido pela STR e acrescentar uma camada de integração desacoplada. Não há justificativa atual para microserviços prematuros, considerando o porte de usuários e a necessidade de reduzir complexidade operacional.</w:t>
      </w:r>
    </w:p>
    <w:p>
      <w:pPr>
        <w:spacing w:before="0" w:after="100" w:line="25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MPROJ CORE</w:t>
        <w:br/>
        <w:t xml:space="preserve">Identidade 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•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RBAC 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•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Auditoria</w:t>
        <w:br/>
        <w:t xml:space="preserve">CRM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→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Contrato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→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Projetos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→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Planejamento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→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Recursos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→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Horas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→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Custos/Financeiro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→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Indicadores</w:t>
        <w:br/>
        <w:t xml:space="preserve">RH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•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Despesas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•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Documentos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•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Aprovações</w:t>
        <w:br/>
        <w:br/>
        <w:t xml:space="preserve">CAMADA DE INTEGRAÇÃO</w:t>
        <w:br/>
        <w:t xml:space="preserve">Omie/ERP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•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Microsoft Project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•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Microsoft 365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•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SharePoint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•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Power BI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•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Bancos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•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Fiscal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•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Assinatura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•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E-mail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•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Tique-Taque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5.1. Isolamento de falhas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Uma indisponibilidade de serviço externo não deve derrubar o Core MPROJ quando a operação puder continuar localmente. Integrações deverão utilizar, conforme o caso, timeout, fila, retry, idempotência, auditoria, monitoramento e reprocessamento.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Exemplo: se um ERP externo estiver indisponível, o registro interno de um custo poderá permanecer válido e a sincronização ficar pendente. Já uma operação cujo resultado dependa efetivamente do terceiro </w:t>
      </w:r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— por exemplo, emiss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ão fiscal </w:t>
      </w:r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— dever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á permanecer com estado 'pendente de processamento externo', sem ser apresentada como concluída.</w:t>
      </w:r>
    </w:p>
    <w:p>
      <w:pPr>
        <w:keepNext w:val="true"/>
        <w:keepLines w:val="true"/>
        <w:spacing w:before="480" w:after="0" w:line="259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6. Plano de execução recomendado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Fase 0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 Discovery e arquitetura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9"/>
          <w:shd w:fill="auto" w:val="clear"/>
        </w:rPr>
        <w:t xml:space="preserve">Estimativa: 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4 semanas</w:t>
      </w:r>
    </w:p>
    <w:p>
      <w:pPr>
        <w:numPr>
          <w:ilvl w:val="0"/>
          <w:numId w:val="101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Mapeamento AS-IS e TO-BE.</w:t>
      </w:r>
    </w:p>
    <w:p>
      <w:pPr>
        <w:numPr>
          <w:ilvl w:val="0"/>
          <w:numId w:val="101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Matriz dos 27 usuários, papéis, permissões e sobreposições.</w:t>
      </w:r>
    </w:p>
    <w:p>
      <w:pPr>
        <w:numPr>
          <w:ilvl w:val="0"/>
          <w:numId w:val="101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Matriz manter × integrar × substituir para ferramentas atuais.</w:t>
      </w:r>
    </w:p>
    <w:p>
      <w:pPr>
        <w:numPr>
          <w:ilvl w:val="0"/>
          <w:numId w:val="101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Regras de aprovação e alçadas.</w:t>
      </w:r>
    </w:p>
    <w:p>
      <w:pPr>
        <w:numPr>
          <w:ilvl w:val="0"/>
          <w:numId w:val="101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Arquitetura de integrações e dados.</w:t>
      </w:r>
    </w:p>
    <w:p>
      <w:pPr>
        <w:numPr>
          <w:ilvl w:val="0"/>
          <w:numId w:val="101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Estratégia de migração.</w:t>
      </w:r>
    </w:p>
    <w:p>
      <w:pPr>
        <w:numPr>
          <w:ilvl w:val="0"/>
          <w:numId w:val="101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Backlog priorizado, critérios de aceite, cronograma e orçamento definitivo.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Fase 1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 Funda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ção, usuários e segurança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9"/>
          <w:shd w:fill="auto" w:val="clear"/>
        </w:rPr>
        <w:t xml:space="preserve">Estimativa: 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4 semanas</w:t>
      </w:r>
    </w:p>
    <w:p>
      <w:pPr>
        <w:numPr>
          <w:ilvl w:val="0"/>
          <w:numId w:val="104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Transformar a estrutura existente de identidade, perfis, permissões, módulos e auditoria em operação real.</w:t>
      </w:r>
    </w:p>
    <w:p>
      <w:pPr>
        <w:numPr>
          <w:ilvl w:val="0"/>
          <w:numId w:val="104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Administração de usuários e vínculos.</w:t>
      </w:r>
    </w:p>
    <w:p>
      <w:pPr>
        <w:numPr>
          <w:ilvl w:val="0"/>
          <w:numId w:val="104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Autorização server-side por perfil, escopo, empresa e projeto.</w:t>
      </w:r>
    </w:p>
    <w:p>
      <w:pPr>
        <w:numPr>
          <w:ilvl w:val="0"/>
          <w:numId w:val="104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Dashboard inicial contextual e navegação por perfil.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Fase 2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 CRM, proposta, contrato e abertura do projeto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9"/>
          <w:shd w:fill="auto" w:val="clear"/>
        </w:rPr>
        <w:t xml:space="preserve">Estimativa: 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6 semanas</w:t>
      </w:r>
    </w:p>
    <w:p>
      <w:pPr>
        <w:numPr>
          <w:ilvl w:val="0"/>
          <w:numId w:val="107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Leads, pipeline e oportunidades.</w:t>
      </w:r>
    </w:p>
    <w:p>
      <w:pPr>
        <w:numPr>
          <w:ilvl w:val="0"/>
          <w:numId w:val="107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Proposta comercial com documento, tipo de profissional e horas.</w:t>
      </w:r>
    </w:p>
    <w:p>
      <w:pPr>
        <w:numPr>
          <w:ilvl w:val="0"/>
          <w:numId w:val="107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Workflow de aprovação comercial.</w:t>
      </w:r>
    </w:p>
    <w:p>
      <w:pPr>
        <w:numPr>
          <w:ilvl w:val="0"/>
          <w:numId w:val="107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Conversão de proposta aprovada em contrato/projeto.</w:t>
      </w:r>
    </w:p>
    <w:p>
      <w:pPr>
        <w:numPr>
          <w:ilvl w:val="0"/>
          <w:numId w:val="107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Preservação do previsto para posterior comparação com realizado.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Fase 3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 Gest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ão de projetos e planejamento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9"/>
          <w:shd w:fill="auto" w:val="clear"/>
        </w:rPr>
        <w:t xml:space="preserve">Estimativa: 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6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8 semanas</w:t>
      </w:r>
    </w:p>
    <w:p>
      <w:pPr>
        <w:numPr>
          <w:ilvl w:val="0"/>
          <w:numId w:val="110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Projetos, fases, equipe, EAP, atividades e marcos.</w:t>
      </w:r>
    </w:p>
    <w:p>
      <w:pPr>
        <w:numPr>
          <w:ilvl w:val="0"/>
          <w:numId w:val="110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Dependências e cronograma.</w:t>
      </w:r>
    </w:p>
    <w:p>
      <w:pPr>
        <w:numPr>
          <w:ilvl w:val="0"/>
          <w:numId w:val="110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Baseline, progresso, previsto × realizado e replanejamento.</w:t>
      </w:r>
    </w:p>
    <w:p>
      <w:pPr>
        <w:numPr>
          <w:ilvl w:val="0"/>
          <w:numId w:val="110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Caminho crítico ou interoperabilidade adequada com Microsoft Project.</w:t>
      </w:r>
    </w:p>
    <w:p>
      <w:pPr>
        <w:numPr>
          <w:ilvl w:val="0"/>
          <w:numId w:val="110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Entregáveis, documentos, reuniões e decisões no contexto do projeto.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Fase 4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 Recursos e horas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9"/>
          <w:shd w:fill="auto" w:val="clear"/>
        </w:rPr>
        <w:t xml:space="preserve">Estimativa: 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5 semanas</w:t>
      </w:r>
    </w:p>
    <w:p>
      <w:pPr>
        <w:numPr>
          <w:ilvl w:val="0"/>
          <w:numId w:val="113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Recursos, disponibilidade e alocação.</w:t>
      </w:r>
    </w:p>
    <w:p>
      <w:pPr>
        <w:numPr>
          <w:ilvl w:val="0"/>
          <w:numId w:val="113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Apontamento diário por projeto/atividade/cliente/disciplina.</w:t>
      </w:r>
    </w:p>
    <w:p>
      <w:pPr>
        <w:numPr>
          <w:ilvl w:val="0"/>
          <w:numId w:val="113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Aprovação e correções com histórico.</w:t>
      </w:r>
    </w:p>
    <w:p>
      <w:pPr>
        <w:numPr>
          <w:ilvl w:val="0"/>
          <w:numId w:val="113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Horas previstas × realizadas.</w:t>
      </w:r>
    </w:p>
    <w:p>
      <w:pPr>
        <w:numPr>
          <w:ilvl w:val="0"/>
          <w:numId w:val="113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Produtividade e ocupação.</w:t>
      </w:r>
    </w:p>
    <w:p>
      <w:pPr>
        <w:numPr>
          <w:ilvl w:val="0"/>
          <w:numId w:val="113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UX simplificada para os 25 usuários de apontamento.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Fase 5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 Custos e financeiro de projetos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9"/>
          <w:shd w:fill="auto" w:val="clear"/>
        </w:rPr>
        <w:t xml:space="preserve">Estimativa: 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7 semanas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Orçamentos e revisões.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Centros de custo.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Custos de recursos e horas.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Previsto × realizado e resultado do projeto.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AP/AR, caixa e demais funções conforme fronteira definida com o ERP.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Integrações bancárias/fiscais conforme decisão de arquitetura.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Fase 6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 RH e despesas de viagem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9"/>
          <w:shd w:fill="auto" w:val="clear"/>
        </w:rPr>
        <w:t xml:space="preserve">Estimativa: 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7 semanas</w:t>
      </w:r>
    </w:p>
    <w:p>
      <w:pPr>
        <w:numPr>
          <w:ilvl w:val="0"/>
          <w:numId w:val="119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Colaboradores, terceiros e prestadores.</w:t>
      </w:r>
    </w:p>
    <w:p>
      <w:pPr>
        <w:numPr>
          <w:ilvl w:val="0"/>
          <w:numId w:val="119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Jornada, banco de horas, férias e documentos.</w:t>
      </w:r>
    </w:p>
    <w:p>
      <w:pPr>
        <w:numPr>
          <w:ilvl w:val="0"/>
          <w:numId w:val="119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Treinamentos e avaliações.</w:t>
      </w:r>
    </w:p>
    <w:p>
      <w:pPr>
        <w:numPr>
          <w:ilvl w:val="0"/>
          <w:numId w:val="119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Solicitação de viagens.</w:t>
      </w:r>
    </w:p>
    <w:p>
      <w:pPr>
        <w:numPr>
          <w:ilvl w:val="0"/>
          <w:numId w:val="119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Comprovantes, quilometragem, reembolsos e aprovações.</w:t>
      </w:r>
    </w:p>
    <w:p>
      <w:pPr>
        <w:numPr>
          <w:ilvl w:val="0"/>
          <w:numId w:val="119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Integração automática com custos do projeto e financeiro.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Fase 7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 BI, dashboards e relat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órios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9"/>
          <w:shd w:fill="auto" w:val="clear"/>
        </w:rPr>
        <w:t xml:space="preserve">Estimativa: 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5 semanas</w:t>
      </w:r>
    </w:p>
    <w:p>
      <w:pPr>
        <w:numPr>
          <w:ilvl w:val="0"/>
          <w:numId w:val="122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Avanço físico e Curva S.</w:t>
      </w:r>
    </w:p>
    <w:p>
      <w:pPr>
        <w:numPr>
          <w:ilvl w:val="0"/>
          <w:numId w:val="122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Horas e custos previstos × realizados.</w:t>
      </w:r>
    </w:p>
    <w:p>
      <w:pPr>
        <w:numPr>
          <w:ilvl w:val="0"/>
          <w:numId w:val="122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Produtividade e desvios.</w:t>
      </w:r>
    </w:p>
    <w:p>
      <w:pPr>
        <w:numPr>
          <w:ilvl w:val="0"/>
          <w:numId w:val="122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Projetos críticos.</w:t>
      </w:r>
    </w:p>
    <w:p>
      <w:pPr>
        <w:numPr>
          <w:ilvl w:val="0"/>
          <w:numId w:val="122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Dashboards por área e diretoria.</w:t>
      </w:r>
    </w:p>
    <w:p>
      <w:pPr>
        <w:numPr>
          <w:ilvl w:val="0"/>
          <w:numId w:val="122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Integração com Power BI quando aplicável.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Fase 8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 Integra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ções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9"/>
          <w:shd w:fill="auto" w:val="clear"/>
        </w:rPr>
        <w:t xml:space="preserve">Estimativa: 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6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10 semanas de esforço distribuído</w:t>
      </w:r>
    </w:p>
    <w:p>
      <w:pPr>
        <w:numPr>
          <w:ilvl w:val="0"/>
          <w:numId w:val="125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Microsoft Project, Excel, Microsoft 365, Power BI e SharePoint.</w:t>
      </w:r>
    </w:p>
    <w:p>
      <w:pPr>
        <w:numPr>
          <w:ilvl w:val="0"/>
          <w:numId w:val="125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ERP/Omie conforme decisão.</w:t>
      </w:r>
    </w:p>
    <w:p>
      <w:pPr>
        <w:numPr>
          <w:ilvl w:val="0"/>
          <w:numId w:val="125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Bancos, NF-e/NFS-e, assinatura eletrônica e e-mail.</w:t>
      </w:r>
    </w:p>
    <w:p>
      <w:pPr>
        <w:numPr>
          <w:ilvl w:val="0"/>
          <w:numId w:val="125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WhatsApp como opcional.</w:t>
      </w:r>
    </w:p>
    <w:p>
      <w:pPr>
        <w:numPr>
          <w:ilvl w:val="0"/>
          <w:numId w:val="125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Adapters, filas, retry, idempotência, logs, monitoramento e reprocessamento.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Fase 9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 Migra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ção, homologação e implantação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9"/>
          <w:shd w:fill="auto" w:val="clear"/>
        </w:rPr>
        <w:t xml:space="preserve">Estimativa: 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6 semanas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Extração, mapeamento, limpeza e validação dos dados.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Migração piloto e reconciliação.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Homologação por perfil/módulo.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Treinamento.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Go-live controlado.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Operação assistida e transição para suporte.</w:t>
      </w:r>
    </w:p>
    <w:p>
      <w:pPr>
        <w:keepNext w:val="true"/>
        <w:keepLines w:val="true"/>
        <w:spacing w:before="480" w:after="0" w:line="259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7. Cronograma macro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As fases não devem ser somadas mecanicamente, pois haverá paralelismo entre desenvolvimento, integrações, homologação e preparação de dados.</w:t>
      </w:r>
    </w:p>
    <w:tbl>
      <w:tblPr/>
      <w:tblGrid>
        <w:gridCol w:w="5040"/>
        <w:gridCol w:w="5040"/>
      </w:tblGrid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Entrega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Janela preliminar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Discovery concluído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3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–4 semanas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Primeiros fluxos operacionais homologáveis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aprox. 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–3 meses ap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ós início do desenvolvimento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MVP/Core operacional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–7 meses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Programa integral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9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–12 meses</w:t>
            </w:r>
          </w:p>
        </w:tc>
      </w:tr>
    </w:tbl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</w:p>
    <w:p>
      <w:pPr>
        <w:spacing w:before="120" w:after="160" w:line="276"/>
        <w:ind w:right="360" w:left="36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  <w:t xml:space="preserve">Prazo sugerido para comunicação pré-comercial: implantação integral estimada em 9 a 12 meses, sujeita à consolidação do Discovery.</w:t>
      </w:r>
    </w:p>
    <w:p>
      <w:pPr>
        <w:keepNext w:val="true"/>
        <w:keepLines w:val="true"/>
        <w:spacing w:before="480" w:after="0" w:line="259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8. Estimativa preliminar de investimento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 tabela abaixo representa ordem de grandeza para planejamento interno. Há componentes compartilhados entre blocos; portanto, as linhas não devem ser simplesmente somadas como preço final.</w:t>
      </w:r>
    </w:p>
    <w:tbl>
      <w:tblPr/>
      <w:tblGrid>
        <w:gridCol w:w="5040"/>
        <w:gridCol w:w="5040"/>
      </w:tblGrid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Bloco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Faixa preliminar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Discovery e arquitetura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R$ 25 mil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– R$ 40 mil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,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Core, segurança e perfis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R$ 25 mil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– R$ 40 mil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CRM/comercial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R$ 35 mil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– R$ 55 mil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Projetos e planejamento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R$ 60 mil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– R$ 90 mil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Recursos e horas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R$ 35 mil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– R$ 55 mil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Financeiro/custos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R$ 45 mil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– R$ 70 mil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RH e despesas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R$ 40 mil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– R$ 65 mil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BI e relatórios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R$ 25 mil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– R$ 45 mil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Integrações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R$ 50 mil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– R$ 90 mil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Migração, homologação e treinamento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R$ 25 mil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– R$ 40 mil</w:t>
            </w:r>
          </w:p>
        </w:tc>
      </w:tr>
    </w:tbl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</w:p>
    <w:p>
      <w:pPr>
        <w:spacing w:before="120" w:after="160" w:line="276"/>
        <w:ind w:right="360" w:left="36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  <w:t xml:space="preserve">Ordem de grandeza do programa integral: R$ 350 mil a R$ 500 mil, sujeita ao Discovery.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Caso a MPROJ deseje substituir integralmente ERP fiscal, BI, gestão documental ou outras plataformas maduras, o escopo, risco, prazo e investimento deverão ser revistos para cima.</w:t>
      </w:r>
    </w:p>
    <w:p>
      <w:pPr>
        <w:keepNext w:val="true"/>
        <w:keepLines w:val="true"/>
        <w:spacing w:before="480" w:after="0" w:line="259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9. Modelo comercial recomendado</w:t>
      </w:r>
    </w:p>
    <w:p>
      <w:pPr>
        <w:numPr>
          <w:ilvl w:val="0"/>
          <w:numId w:val="175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Contratar inicialmente Discovery e Arquitetura como entrega independente e paga.</w:t>
      </w:r>
    </w:p>
    <w:p>
      <w:pPr>
        <w:numPr>
          <w:ilvl w:val="0"/>
          <w:numId w:val="175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Após o Discovery, apresentar Programa MPROJ com escopo, backlog, marcos, critérios de aceite, cronograma e preço revisados.</w:t>
      </w:r>
    </w:p>
    <w:p>
      <w:pPr>
        <w:numPr>
          <w:ilvl w:val="0"/>
          <w:numId w:val="175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Faturar por releases/marcos de entrega, reduzindo risco para MPROJ e STR.</w:t>
      </w:r>
    </w:p>
    <w:p>
      <w:pPr>
        <w:numPr>
          <w:ilvl w:val="0"/>
          <w:numId w:val="175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Separar desenvolvimento, serviços de terceiros, infraestrutura, suporte e eventuais licenças externas.</w:t>
      </w:r>
    </w:p>
    <w:p>
      <w:pPr>
        <w:keepNext w:val="true"/>
        <w:keepLines w:val="true"/>
        <w:spacing w:before="480" w:after="0" w:line="259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10. Respostas preliminares às questões do fornecedor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10.1. Controle de permissões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 arquitetura prevê controle baseado em perfil, permissão, escopo, empresa, participação no projeto e contexto da operação. A autorização deve ser validada no servidor; ocultar um botão na interface não constitui mecanismo de segurança.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10.2. Níveis de licença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 proposta pode adotar níveis funcionais </w:t>
      </w:r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— Operacional, Profissional, Gest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ão e Administrador </w:t>
      </w:r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— ou licenciamento corporativo para os 27 usu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ários iniciais. O modelo definitivo deverá considerar as sobreposições entre áreas e o fato de 25 colaboradores utilizarem apontamento de horas.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10.3. Aplicativo móvel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 solução ainda não possui aplicativo móvel concluído. Recomenda-se experiência web responsiva/PWA para horas e despesas como primeira abordagem. Aplicativo nativo deverá ser considerado apenas se requisitos como operação offline, notificações, câmera, distribuição ou segurança justificarem.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10.4. APIs abertas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 solução poderá disponibilizar APIs documentadas para integrações autorizadas, com autenticação, autorização, versionamento, validação, rate limiting, auditoria e contratos estáveis. APIs não significam exposição direta do banco de dados.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10.5. Migração de dados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 migração deverá seguir processo controlado: inventário das fontes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extração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mapeamento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limpeza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validação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carga piloto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reconciliação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homologação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carga final. O escopo depende do histórico a preservar em Excel, sistema de horas, Project, Omie, SharePoint e demais fontes.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10.6. Trilha de auditoria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Operações críticas deverão manter rastreabilidade de usuário, data/hora, contexto, operação e alterações relevantes. O inventário atual já contempla EventoAuditoria e auditoria transacional em partes da autenticação, mas a cobertura completa deverá acompanhar a implementação dos módulos de negócio.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10.7. Implantação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Recomenda-se implantação incremental: Discovery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desenvolvimento por releases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homologação por módulo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migração piloto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treinamento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go-live controlado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operação assistida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suporte. Não se recomenda substituição simultânea de todas as ferramentas em uma única virada.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10.8. Treinamento</w:t>
      </w:r>
    </w:p>
    <w:tbl>
      <w:tblPr/>
      <w:tblGrid>
        <w:gridCol w:w="5040"/>
        <w:gridCol w:w="5040"/>
      </w:tblGrid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Grupo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Conteúdo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TI/Admin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Usuários, permissões, módulos, integrações, auditoria e administração.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Gestores/Coordenadores/Planejadores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Projetos, EAP, cronograma, recursos, custos e indicadores.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Comercial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CRM, oportunidades, propostas, contratos e conversão em projeto.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Financeiro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Custos, centros de custo, resultado, operações e integrações.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RH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Pessoas, jornada, férias, documentos, treinamentos e avaliações.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Colaboradores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Tarefas, horas, documentos e despesas; treinamento curto e operacional.</w:t>
            </w:r>
          </w:p>
        </w:tc>
      </w:tr>
    </w:tbl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Recomenda-se ambiente de homologação, materiais digitais por perfil e operação assistida após o go-live.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10.9. Suporte e SLA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SLA (Service Level Agreement / Acordo de Nível de Serviço) deverá definir severidade, horário de cobertura, tempo de resposta e responsabilidades. Os níveis abaixo são apenas referência inicial para negociação.</w:t>
      </w:r>
    </w:p>
    <w:tbl>
      <w:tblPr/>
      <w:tblGrid>
        <w:gridCol w:w="3360"/>
        <w:gridCol w:w="3360"/>
        <w:gridCol w:w="3360"/>
      </w:tblGrid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Severidade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Exemplo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Resposta inicial sugerida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Crítica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Sistema indisponível ou operação essencial parada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até 1 hora útil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Alta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Função importante indisponível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até 4 horas úteis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Normal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Erro sem paralisação ou solicitação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6"/>
                <w:shd w:fill="auto" w:val="clear"/>
              </w:rPr>
              <w:t xml:space="preserve">até 1 dia útil</w:t>
            </w:r>
          </w:p>
        </w:tc>
      </w:tr>
    </w:tbl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O SLA da STR deve cobrir componentes sob controle da STR. Disponibilidade de Microsoft, ERP, bancos, assinatura eletrônica e outros terceiros deve ser tratada como dependência externa. A arquitetura deverá manter o MPROJ operando de forma degradada e recuperável quando tecnicamente possível.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10.10. Prazo estimado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Estimativa preliminar: 5 a 7 meses para um MVP/Core operacional e 9 a 12 meses para o programa integral solicitado, incluindo módulos complementares, integrações, migração, homologação e implantação. O prazo contratual definitivo será consolidado após o Discovery.</w:t>
      </w:r>
    </w:p>
    <w:p>
      <w:pPr>
        <w:keepNext w:val="true"/>
        <w:keepLines w:val="true"/>
        <w:spacing w:before="200" w:after="0" w:line="259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10.11. Referências em empresas de engenharia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A STR não deve atribuir à plataforma referências de utilização que ainda não possua. A resposta recomendada é apresentar o portfólio e experiência técnica efetivamente comprováveis e esclarecer que a solução será desenvolvida e parametrizada para os processos da MPROJ.</w:t>
      </w:r>
    </w:p>
    <w:p>
      <w:pPr>
        <w:keepNext w:val="true"/>
        <w:keepLines w:val="true"/>
        <w:spacing w:before="480" w:after="0" w:line="259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11. Riscos e decisões obrigatórias antes do fechamento</w:t>
      </w:r>
    </w:p>
    <w:p>
      <w:pPr>
        <w:numPr>
          <w:ilvl w:val="0"/>
          <w:numId w:val="227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Definir, para cada ferramenta atual, se será mantida, integrada ou substituída.</w:t>
      </w:r>
    </w:p>
    <w:p>
      <w:pPr>
        <w:numPr>
          <w:ilvl w:val="0"/>
          <w:numId w:val="227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Confirmar matriz real dos 27 usuários e acumulação de papéis.</w:t>
      </w:r>
    </w:p>
    <w:p>
      <w:pPr>
        <w:numPr>
          <w:ilvl w:val="0"/>
          <w:numId w:val="227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Definir se Microsoft Project continuará sendo ferramenta de planejamento ou apenas formato de interoperabilidade.</w:t>
      </w:r>
    </w:p>
    <w:p>
      <w:pPr>
        <w:numPr>
          <w:ilvl w:val="0"/>
          <w:numId w:val="227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Definir fronteira entre financeiro de projetos no MPROJ e ERP fiscal/contábil.</w:t>
      </w:r>
    </w:p>
    <w:p>
      <w:pPr>
        <w:numPr>
          <w:ilvl w:val="0"/>
          <w:numId w:val="227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Confirmar necessidade e profundidade do RH.</w:t>
      </w:r>
    </w:p>
    <w:p>
      <w:pPr>
        <w:numPr>
          <w:ilvl w:val="0"/>
          <w:numId w:val="227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Definir volume e histórico de dados a migrar.</w:t>
      </w:r>
    </w:p>
    <w:p>
      <w:pPr>
        <w:numPr>
          <w:ilvl w:val="0"/>
          <w:numId w:val="227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Definir aprovações, alçadas e segregação de funções.</w:t>
      </w:r>
    </w:p>
    <w:p>
      <w:pPr>
        <w:numPr>
          <w:ilvl w:val="0"/>
          <w:numId w:val="227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Definir requisitos de segurança, backup, disponibilidade, retenção e LGPD.</w:t>
      </w:r>
    </w:p>
    <w:p>
      <w:pPr>
        <w:numPr>
          <w:ilvl w:val="0"/>
          <w:numId w:val="227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Definir PWA versus aplicativo nativo.</w:t>
      </w:r>
    </w:p>
    <w:p>
      <w:pPr>
        <w:numPr>
          <w:ilvl w:val="0"/>
          <w:numId w:val="227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Validar APIs, limites, custos e condições comerciais dos fornecedores externos antes de assumir integrações em contrato.</w:t>
      </w:r>
    </w:p>
    <w:p>
      <w:pPr>
        <w:keepNext w:val="true"/>
        <w:keepLines w:val="true"/>
        <w:spacing w:before="480" w:after="0" w:line="259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12. Critérios de qualidade e aceite</w:t>
      </w:r>
    </w:p>
    <w:p>
      <w:pPr>
        <w:numPr>
          <w:ilvl w:val="0"/>
          <w:numId w:val="229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Cada requisito deve possuir critério de aceite observável.</w:t>
      </w:r>
    </w:p>
    <w:p>
      <w:pPr>
        <w:numPr>
          <w:ilvl w:val="0"/>
          <w:numId w:val="229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Modelado não equivale a implementado; implementado não equivale a demonstrado.</w:t>
      </w:r>
    </w:p>
    <w:p>
      <w:pPr>
        <w:numPr>
          <w:ilvl w:val="0"/>
          <w:numId w:val="229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Testes devem ser proporcionais ao risco: unidade, integração, autorização, regras de domínio e E2E onde necessário.</w:t>
      </w:r>
    </w:p>
    <w:p>
      <w:pPr>
        <w:numPr>
          <w:ilvl w:val="0"/>
          <w:numId w:val="229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Não repetir verificações já aprovadas sem mudança, falha ou nova dependência que justifique.</w:t>
      </w:r>
    </w:p>
    <w:p>
      <w:pPr>
        <w:numPr>
          <w:ilvl w:val="0"/>
          <w:numId w:val="229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Integrações devem ser testadas também para indisponibilidade, timeout, duplicidade e reprocessamento.</w:t>
      </w:r>
    </w:p>
    <w:p>
      <w:pPr>
        <w:numPr>
          <w:ilvl w:val="0"/>
          <w:numId w:val="229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Migração deve possuir reconciliação quantitativa e amostral/funcional.</w:t>
      </w:r>
    </w:p>
    <w:p>
      <w:pPr>
        <w:numPr>
          <w:ilvl w:val="0"/>
          <w:numId w:val="229"/>
        </w:numPr>
        <w:tabs>
          <w:tab w:val="left" w:pos="360" w:leader="none"/>
        </w:tabs>
        <w:spacing w:before="0" w:after="4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Permissões devem ser validadas por chamadas diretas ao servidor, não apenas pela interface.</w:t>
      </w:r>
    </w:p>
    <w:p>
      <w:pPr>
        <w:keepNext w:val="true"/>
        <w:keepLines w:val="true"/>
        <w:spacing w:before="480" w:after="0" w:line="259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13. Recomendação final</w:t>
      </w:r>
    </w:p>
    <w:p>
      <w:pPr>
        <w:spacing w:before="120" w:after="160" w:line="276"/>
        <w:ind w:right="360" w:left="36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  <w:t xml:space="preserve">Recomendação: não reiniciar o projeto e não fechar imediatamente um preço fixo para as dez páginas de requisitos. Preservar a fundação já construída, realizar Discovery formal, confirmar fronteiras de integração/substituição e então executar o programa em releases.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O diferencial da proposta da STR deve ser a consolidação do ciclo operacional da MPROJ, e não a simples criação de mais uma ferramenta. A plataforma deve conectar oportunidade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proposta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contrato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projeto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planejamento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recursos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execução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horas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custos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faturamento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resultado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9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 indicadores, mantendo integrações externas desacopladas e a experiência de cada usuário contextual ao seu papel.</w:t>
      </w:r>
    </w:p>
    <w:p>
      <w:pPr>
        <w:keepNext w:val="true"/>
        <w:keepLines w:val="true"/>
        <w:spacing w:before="480" w:after="0" w:line="259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14. Premissas e limitações deste relatório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Este relatório é uma análise preliminar para revisão interna da STR Software. Foi elaborado a partir do levantamento de requisitos fornecido pela MPROJ e do inventário funcional da STR datado de 04/10/2026. Não substitui Discovery, especificação funcional detalhada, auditoria completa do repositório, validação das APIs de terceiros, proposta comercial definitiva ou contrato.</w:t>
      </w:r>
    </w:p>
    <w:p>
      <w:pPr>
        <w:spacing w:before="0" w:after="10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Valores, prazos, SLAs e estratégias de integração são estimativas técnicas e comerciais preliminares. Devem ser revisados após entrevistas com os responsáveis das áreas, validação de processos, dados, integrações, volumes e prioridades.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num w:numId="31">
    <w:abstractNumId w:val="72"/>
  </w:num>
  <w:num w:numId="101">
    <w:abstractNumId w:val="66"/>
  </w:num>
  <w:num w:numId="104">
    <w:abstractNumId w:val="60"/>
  </w:num>
  <w:num w:numId="107">
    <w:abstractNumId w:val="54"/>
  </w:num>
  <w:num w:numId="110">
    <w:abstractNumId w:val="48"/>
  </w:num>
  <w:num w:numId="113">
    <w:abstractNumId w:val="42"/>
  </w:num>
  <w:num w:numId="116">
    <w:abstractNumId w:val="36"/>
  </w:num>
  <w:num w:numId="119">
    <w:abstractNumId w:val="30"/>
  </w:num>
  <w:num w:numId="122">
    <w:abstractNumId w:val="24"/>
  </w:num>
  <w:num w:numId="125">
    <w:abstractNumId w:val="18"/>
  </w:num>
  <w:num w:numId="128">
    <w:abstractNumId w:val="12"/>
  </w:num>
  <w:num w:numId="175">
    <w:abstractNumId w:val="1"/>
  </w:num>
  <w:num w:numId="227">
    <w:abstractNumId w:val="6"/>
  </w:num>
  <w:num w:numId="2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