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bookmarkStart w:id="0" w:name="_GoBack"/>
      <w:bookmarkEnd w:id="0"/>
      <w:r>
        <w:t>Chemistry 20</w:t>
      </w:r>
    </w:p>
    <w:p w:rsidR="00401498" w:rsidRDefault="00401498">
      <w:pPr>
        <w:pStyle w:val="Title"/>
      </w:pPr>
      <w:r>
        <w:t>Lesson 1</w:t>
      </w:r>
      <w:r w:rsidR="00443F18">
        <w:t>9</w:t>
      </w:r>
      <w:r>
        <w:t xml:space="preserve"> – </w:t>
      </w:r>
      <w:r w:rsidR="00443F18">
        <w:t>Preparing Solutions Activity</w:t>
      </w:r>
    </w:p>
    <w:p w:rsidR="000D7C6A" w:rsidRDefault="000D7C6A" w:rsidP="000D7C6A">
      <w:pPr>
        <w:widowControl w:val="0"/>
        <w:spacing w:line="360" w:lineRule="atLeast"/>
        <w:rPr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Prelab:</w:t>
      </w:r>
    </w:p>
    <w:p w:rsidR="000D7C6A" w:rsidRDefault="000D7C6A" w:rsidP="000D7C6A">
      <w:pPr>
        <w:widowControl w:val="0"/>
        <w:ind w:left="720"/>
        <w:rPr>
          <w:snapToGrid w:val="0"/>
          <w:lang w:eastAsia="en-US"/>
        </w:rPr>
      </w:pPr>
      <w:r>
        <w:rPr>
          <w:snapToGrid w:val="0"/>
          <w:lang w:eastAsia="en-US"/>
        </w:rPr>
        <w:t>Read page 803</w:t>
      </w:r>
      <w:r w:rsidR="00E82AEB">
        <w:rPr>
          <w:snapToGrid w:val="0"/>
          <w:lang w:eastAsia="en-US"/>
        </w:rPr>
        <w:t>-804</w:t>
      </w:r>
      <w:r>
        <w:rPr>
          <w:snapToGrid w:val="0"/>
          <w:lang w:eastAsia="en-US"/>
        </w:rPr>
        <w:t xml:space="preserve"> in Nelson for a description of how to prepare a solution from a solid solute or from an existing solution.</w:t>
      </w:r>
      <w:r w:rsidR="0071583D">
        <w:rPr>
          <w:snapToGrid w:val="0"/>
          <w:lang w:eastAsia="en-US"/>
        </w:rPr>
        <w:t xml:space="preserve">  </w:t>
      </w:r>
    </w:p>
    <w:p w:rsidR="0071583D" w:rsidRDefault="0071583D" w:rsidP="000D7C6A">
      <w:pPr>
        <w:widowControl w:val="0"/>
        <w:ind w:left="720"/>
        <w:rPr>
          <w:snapToGrid w:val="0"/>
          <w:lang w:eastAsia="en-US"/>
        </w:rPr>
      </w:pPr>
    </w:p>
    <w:p w:rsidR="00953948" w:rsidRDefault="00953948" w:rsidP="00953948">
      <w:pPr>
        <w:widowControl w:val="0"/>
        <w:spacing w:line="360" w:lineRule="atLeast"/>
        <w:rPr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Problem: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A.</w:t>
      </w:r>
      <w:r>
        <w:rPr>
          <w:snapToGrid w:val="0"/>
          <w:lang w:eastAsia="en-US"/>
        </w:rPr>
        <w:tab/>
        <w:t>Preparing 100.0 mL of a 0.050 mol/L solution of copper (II) sulfate from solid copper (II) sulfate pentahydrate.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B.</w:t>
      </w:r>
      <w:r>
        <w:rPr>
          <w:snapToGrid w:val="0"/>
          <w:lang w:eastAsia="en-US"/>
        </w:rPr>
        <w:tab/>
        <w:t>Preparing two other solutions through dilution: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>From 20.0 mL of the first solution, prepare 100.0 mL of the second solution.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>From the first solution prepare 100.0 mL of a 0.0040 mol/L solution.</w:t>
      </w:r>
    </w:p>
    <w:p w:rsidR="00953948" w:rsidRDefault="00953948" w:rsidP="00953948">
      <w:pPr>
        <w:widowControl w:val="0"/>
        <w:spacing w:line="360" w:lineRule="atLeast"/>
        <w:ind w:left="576" w:hanging="576"/>
        <w:rPr>
          <w:snapToGrid w:val="0"/>
          <w:lang w:eastAsia="en-US"/>
        </w:rPr>
      </w:pPr>
    </w:p>
    <w:p w:rsidR="00953948" w:rsidRDefault="00953948" w:rsidP="00953948">
      <w:pPr>
        <w:widowControl w:val="0"/>
        <w:spacing w:line="360" w:lineRule="atLeast"/>
        <w:ind w:left="576" w:hanging="576"/>
        <w:rPr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Write up: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Title</w:t>
      </w:r>
      <w:r>
        <w:rPr>
          <w:snapToGrid w:val="0"/>
          <w:lang w:eastAsia="en-US"/>
        </w:rPr>
        <w:t xml:space="preserve"> - appropriate and informative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Purpose</w:t>
      </w:r>
      <w:r>
        <w:rPr>
          <w:snapToGrid w:val="0"/>
          <w:lang w:eastAsia="en-US"/>
        </w:rPr>
        <w:t xml:space="preserve"> for each part - Why are you doing this?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Background Information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 xml:space="preserve">procedure for using </w:t>
      </w:r>
      <w:r>
        <w:rPr>
          <w:i/>
          <w:snapToGrid w:val="0"/>
          <w:lang w:eastAsia="en-US"/>
        </w:rPr>
        <w:t>massing balance</w:t>
      </w:r>
      <w:r>
        <w:rPr>
          <w:snapToGrid w:val="0"/>
          <w:lang w:eastAsia="en-US"/>
        </w:rPr>
        <w:t xml:space="preserve"> correctly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 xml:space="preserve">procedure for using a </w:t>
      </w:r>
      <w:r>
        <w:rPr>
          <w:i/>
          <w:snapToGrid w:val="0"/>
          <w:lang w:eastAsia="en-US"/>
        </w:rPr>
        <w:t>volumetric flask</w:t>
      </w:r>
      <w:r>
        <w:rPr>
          <w:snapToGrid w:val="0"/>
          <w:lang w:eastAsia="en-US"/>
        </w:rPr>
        <w:t xml:space="preserve"> correctly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 xml:space="preserve">procedure for using a </w:t>
      </w:r>
      <w:r>
        <w:rPr>
          <w:i/>
          <w:snapToGrid w:val="0"/>
          <w:lang w:eastAsia="en-US"/>
        </w:rPr>
        <w:t>pipet</w:t>
      </w:r>
      <w:r>
        <w:rPr>
          <w:snapToGrid w:val="0"/>
          <w:lang w:eastAsia="en-US"/>
        </w:rPr>
        <w:t xml:space="preserve"> correctly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Materials</w:t>
      </w:r>
      <w:r>
        <w:rPr>
          <w:snapToGrid w:val="0"/>
          <w:lang w:eastAsia="en-US"/>
        </w:rPr>
        <w:t xml:space="preserve"> list for each part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Procedures</w:t>
      </w:r>
      <w:r>
        <w:rPr>
          <w:snapToGrid w:val="0"/>
          <w:lang w:eastAsia="en-US"/>
        </w:rPr>
        <w:t xml:space="preserve"> for each part - point form and detailed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Observations</w:t>
      </w:r>
      <w:r>
        <w:rPr>
          <w:snapToGrid w:val="0"/>
          <w:lang w:eastAsia="en-US"/>
        </w:rPr>
        <w:t xml:space="preserve"> of the prepared solutions</w:t>
      </w:r>
    </w:p>
    <w:p w:rsidR="00953948" w:rsidRDefault="00953948" w:rsidP="00953948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b/>
          <w:snapToGrid w:val="0"/>
          <w:lang w:eastAsia="en-US"/>
        </w:rPr>
        <w:t>Conclusion</w:t>
      </w:r>
      <w:r>
        <w:rPr>
          <w:snapToGrid w:val="0"/>
          <w:lang w:eastAsia="en-US"/>
        </w:rPr>
        <w:t xml:space="preserve"> - answer the following questions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>What are the concentrations of each solution made?  (Show any calculations you have to make.)</w:t>
      </w:r>
    </w:p>
    <w:p w:rsidR="00953948" w:rsidRDefault="00953948" w:rsidP="00953948">
      <w:pPr>
        <w:widowControl w:val="0"/>
        <w:spacing w:line="360" w:lineRule="atLeast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  <w:t>What is the relationship between the colour of a solution and its concentration?</w:t>
      </w:r>
    </w:p>
    <w:p w:rsidR="00953948" w:rsidRDefault="00953948" w:rsidP="00953948">
      <w:pPr>
        <w:widowControl w:val="0"/>
        <w:spacing w:line="360" w:lineRule="atLeast"/>
        <w:ind w:left="576" w:hanging="576"/>
        <w:rPr>
          <w:snapToGrid w:val="0"/>
          <w:lang w:eastAsia="en-US"/>
        </w:rPr>
      </w:pPr>
    </w:p>
    <w:p w:rsidR="00401498" w:rsidRDefault="00401498"/>
    <w:p w:rsidR="00401498" w:rsidRDefault="00401498"/>
    <w:sectPr w:rsidR="00401498">
      <w:footerReference w:type="default" r:id="rId8"/>
      <w:pgSz w:w="12240" w:h="15840" w:code="1"/>
      <w:pgMar w:top="864" w:right="1440" w:bottom="864" w:left="1440" w:header="57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A5" w:rsidRDefault="008A4BA5">
      <w:r>
        <w:separator/>
      </w:r>
    </w:p>
  </w:endnote>
  <w:endnote w:type="continuationSeparator" w:id="0">
    <w:p w:rsidR="008A4BA5" w:rsidRDefault="008A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CB2831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  <w:t>1</w:t>
    </w:r>
    <w:r w:rsidR="00443F18">
      <w:t>9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1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A5" w:rsidRDefault="008A4BA5">
      <w:r>
        <w:separator/>
      </w:r>
    </w:p>
  </w:footnote>
  <w:footnote w:type="continuationSeparator" w:id="0">
    <w:p w:rsidR="008A4BA5" w:rsidRDefault="008A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3542B"/>
    <w:rsid w:val="000806B7"/>
    <w:rsid w:val="000D7C6A"/>
    <w:rsid w:val="001173DC"/>
    <w:rsid w:val="001266EF"/>
    <w:rsid w:val="001A2BC7"/>
    <w:rsid w:val="001C093E"/>
    <w:rsid w:val="00362623"/>
    <w:rsid w:val="00380608"/>
    <w:rsid w:val="00401498"/>
    <w:rsid w:val="004348F1"/>
    <w:rsid w:val="00443F18"/>
    <w:rsid w:val="00495BBC"/>
    <w:rsid w:val="00671382"/>
    <w:rsid w:val="006B79DD"/>
    <w:rsid w:val="0071583D"/>
    <w:rsid w:val="007717F7"/>
    <w:rsid w:val="008A4BA5"/>
    <w:rsid w:val="00953948"/>
    <w:rsid w:val="00AA15BE"/>
    <w:rsid w:val="00B50265"/>
    <w:rsid w:val="00B7390B"/>
    <w:rsid w:val="00C60444"/>
    <w:rsid w:val="00CB2831"/>
    <w:rsid w:val="00CB607C"/>
    <w:rsid w:val="00DD1179"/>
    <w:rsid w:val="00E82AEB"/>
    <w:rsid w:val="00EB00AB"/>
    <w:rsid w:val="00EE7055"/>
    <w:rsid w:val="00FB0CF2"/>
    <w:rsid w:val="00F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71583D"/>
    <w:rPr>
      <w:color w:val="0000FF"/>
      <w:u w:val="single"/>
    </w:rPr>
  </w:style>
  <w:style w:type="character" w:styleId="FollowedHyperlink">
    <w:name w:val="FollowedHyperlink"/>
    <w:basedOn w:val="DefaultParagraphFont"/>
    <w:rsid w:val="0071583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B2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71583D"/>
    <w:rPr>
      <w:color w:val="0000FF"/>
      <w:u w:val="single"/>
    </w:rPr>
  </w:style>
  <w:style w:type="character" w:styleId="FollowedHyperlink">
    <w:name w:val="FollowedHyperlink"/>
    <w:basedOn w:val="DefaultParagraphFont"/>
    <w:rsid w:val="0071583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B2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2016-05-26T20:22:00Z</cp:lastPrinted>
  <dcterms:created xsi:type="dcterms:W3CDTF">2016-05-26T20:23:00Z</dcterms:created>
  <dcterms:modified xsi:type="dcterms:W3CDTF">2016-05-26T20:23:00Z</dcterms:modified>
</cp:coreProperties>
</file>