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7D7" w:rsidRDefault="00DC17D7">
      <w:pPr>
        <w:widowControl w:val="0"/>
        <w:rPr>
          <w:b/>
          <w:snapToGrid w:val="0"/>
          <w:sz w:val="32"/>
        </w:rPr>
      </w:pPr>
      <w:r>
        <w:rPr>
          <w:b/>
          <w:snapToGrid w:val="0"/>
          <w:sz w:val="32"/>
        </w:rPr>
        <w:t>Titration Activity</w:t>
      </w:r>
    </w:p>
    <w:p w:rsidR="00DC17D7" w:rsidRDefault="00DC17D7">
      <w:pPr>
        <w:widowControl w:val="0"/>
        <w:rPr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(3)</w:t>
      </w:r>
      <w:r>
        <w:rPr>
          <w:snapToGrid w:val="0"/>
          <w:sz w:val="24"/>
        </w:rPr>
        <w:tab/>
        <w:t>Complete / neatly done</w:t>
      </w:r>
      <w:bookmarkStart w:id="0" w:name="_GoBack"/>
      <w:bookmarkEnd w:id="0"/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(3)</w:t>
      </w:r>
      <w:r>
        <w:rPr>
          <w:snapToGrid w:val="0"/>
          <w:sz w:val="24"/>
        </w:rPr>
        <w:tab/>
      </w:r>
      <w:r>
        <w:rPr>
          <w:b/>
          <w:snapToGrid w:val="0"/>
          <w:sz w:val="24"/>
        </w:rPr>
        <w:t>Background Information</w:t>
      </w:r>
      <w:r>
        <w:rPr>
          <w:snapToGrid w:val="0"/>
          <w:sz w:val="24"/>
        </w:rPr>
        <w:t>: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titrant</w:t>
      </w:r>
      <w:r>
        <w:rPr>
          <w:snapToGrid w:val="0"/>
          <w:sz w:val="24"/>
        </w:rPr>
        <w:t xml:space="preserve"> - solution of known concentration in the buret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endpoint</w:t>
      </w:r>
      <w:r>
        <w:rPr>
          <w:snapToGrid w:val="0"/>
          <w:sz w:val="24"/>
        </w:rPr>
        <w:t xml:space="preserve"> - the point where a sharp, easily seen change takes place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equivalence point</w:t>
      </w:r>
      <w:r>
        <w:rPr>
          <w:snapToGrid w:val="0"/>
          <w:sz w:val="24"/>
        </w:rPr>
        <w:t xml:space="preserve"> - the amount of titrant used at the end point</w:t>
      </w:r>
    </w:p>
    <w:p w:rsidR="00DC17D7" w:rsidRDefault="00DC17D7">
      <w:pPr>
        <w:widowControl w:val="0"/>
        <w:ind w:left="576" w:hanging="576"/>
        <w:rPr>
          <w:b/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(4)</w:t>
      </w:r>
      <w:r>
        <w:rPr>
          <w:snapToGrid w:val="0"/>
          <w:sz w:val="24"/>
        </w:rPr>
        <w:tab/>
      </w:r>
      <w:r>
        <w:rPr>
          <w:b/>
          <w:snapToGrid w:val="0"/>
          <w:sz w:val="24"/>
        </w:rPr>
        <w:t>Experimental Design</w:t>
      </w:r>
      <w:r>
        <w:rPr>
          <w:snapToGrid w:val="0"/>
          <w:sz w:val="24"/>
        </w:rPr>
        <w:t>: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2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manipulated variable</w:t>
      </w:r>
      <w:r>
        <w:rPr>
          <w:snapToGrid w:val="0"/>
          <w:sz w:val="24"/>
        </w:rPr>
        <w:t xml:space="preserve"> -  amount of unknown solution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2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responding variable</w:t>
      </w:r>
      <w:r>
        <w:rPr>
          <w:snapToGrid w:val="0"/>
          <w:sz w:val="24"/>
        </w:rPr>
        <w:t xml:space="preserve"> -  amount of titrant used</w:t>
      </w:r>
    </w:p>
    <w:p w:rsidR="00DC17D7" w:rsidRDefault="00DC17D7">
      <w:pPr>
        <w:widowControl w:val="0"/>
        <w:ind w:left="576" w:hanging="576"/>
        <w:rPr>
          <w:b/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(3)</w:t>
      </w:r>
      <w:r>
        <w:rPr>
          <w:snapToGrid w:val="0"/>
          <w:sz w:val="24"/>
        </w:rPr>
        <w:tab/>
      </w:r>
      <w:r>
        <w:rPr>
          <w:b/>
          <w:snapToGrid w:val="0"/>
          <w:sz w:val="24"/>
        </w:rPr>
        <w:t>Procedure</w:t>
      </w:r>
      <w:r>
        <w:rPr>
          <w:snapToGrid w:val="0"/>
          <w:sz w:val="24"/>
        </w:rPr>
        <w:t>: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Rinse and clean the buret</w:t>
      </w:r>
      <w:r>
        <w:rPr>
          <w:snapToGrid w:val="0"/>
          <w:sz w:val="24"/>
        </w:rPr>
        <w:t>.</w:t>
      </w:r>
    </w:p>
    <w:p w:rsidR="00DC17D7" w:rsidRDefault="00DC17D7">
      <w:pPr>
        <w:widowControl w:val="0"/>
        <w:ind w:left="1008" w:hanging="432"/>
        <w:rPr>
          <w:i/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Pipet 10.0 mL of the unknown solution into a flask/beaker.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</w:r>
      <w:r>
        <w:rPr>
          <w:i/>
          <w:snapToGrid w:val="0"/>
          <w:sz w:val="24"/>
        </w:rPr>
        <w:t>Add 2 or 3 drops of phenolphthalein indicator.</w:t>
      </w:r>
    </w:p>
    <w:p w:rsidR="00DC17D7" w:rsidRDefault="00DC17D7">
      <w:pPr>
        <w:widowControl w:val="0"/>
        <w:ind w:left="576" w:hanging="576"/>
        <w:rPr>
          <w:b/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(3)</w:t>
      </w:r>
      <w:r>
        <w:rPr>
          <w:snapToGrid w:val="0"/>
          <w:sz w:val="24"/>
        </w:rPr>
        <w:tab/>
      </w:r>
      <w:r>
        <w:rPr>
          <w:b/>
          <w:snapToGrid w:val="0"/>
          <w:sz w:val="24"/>
        </w:rPr>
        <w:t>Observations</w:t>
      </w:r>
      <w:r>
        <w:rPr>
          <w:snapToGrid w:val="0"/>
          <w:sz w:val="24"/>
        </w:rPr>
        <w:t>:</w:t>
      </w:r>
    </w:p>
    <w:p w:rsidR="00DC17D7" w:rsidRDefault="00DC17D7">
      <w:pPr>
        <w:widowControl w:val="0"/>
        <w:ind w:left="1008" w:hanging="432"/>
        <w:rPr>
          <w:i/>
          <w:snapToGrid w:val="0"/>
          <w:sz w:val="24"/>
        </w:rPr>
      </w:pPr>
      <w:r>
        <w:rPr>
          <w:snapToGrid w:val="0"/>
          <w:sz w:val="24"/>
        </w:rPr>
        <w:t>1</w:t>
      </w:r>
      <w:r>
        <w:rPr>
          <w:snapToGrid w:val="0"/>
          <w:sz w:val="24"/>
        </w:rPr>
        <w:tab/>
        <w:t>data chart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2</w:t>
      </w:r>
      <w:r>
        <w:rPr>
          <w:snapToGrid w:val="0"/>
          <w:sz w:val="24"/>
        </w:rPr>
        <w:tab/>
        <w:t>Three trials within 0.4 mL of each other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b/>
          <w:snapToGrid w:val="0"/>
          <w:sz w:val="24"/>
        </w:rPr>
        <w:tab/>
        <w:t>Conclusion</w:t>
      </w: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(5)</w:t>
      </w:r>
      <w:r>
        <w:rPr>
          <w:snapToGrid w:val="0"/>
          <w:sz w:val="24"/>
        </w:rPr>
        <w:tab/>
        <w:t>Part A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3</w:t>
      </w:r>
      <w:r>
        <w:rPr>
          <w:snapToGrid w:val="0"/>
          <w:sz w:val="24"/>
        </w:rPr>
        <w:tab/>
        <w:t>calculation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2</w:t>
      </w:r>
      <w:r>
        <w:rPr>
          <w:snapToGrid w:val="0"/>
          <w:sz w:val="24"/>
        </w:rPr>
        <w:tab/>
        <w:t>value between 0.245 mol/L and 0.255 mol/L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4"/>
        </w:rPr>
      </w:pPr>
      <w:r>
        <w:rPr>
          <w:snapToGrid w:val="0"/>
          <w:sz w:val="24"/>
        </w:rPr>
        <w:t>(2)</w:t>
      </w:r>
      <w:r>
        <w:rPr>
          <w:snapToGrid w:val="0"/>
          <w:sz w:val="24"/>
        </w:rPr>
        <w:tab/>
        <w:t>Part B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-</w:t>
      </w:r>
      <w:r>
        <w:rPr>
          <w:snapToGrid w:val="0"/>
          <w:sz w:val="24"/>
        </w:rPr>
        <w:tab/>
        <w:t>materials were not sufficiently cleaned</w:t>
      </w:r>
    </w:p>
    <w:p w:rsidR="00DC17D7" w:rsidRDefault="00DC17D7">
      <w:pPr>
        <w:widowControl w:val="0"/>
        <w:ind w:left="1008" w:hanging="432"/>
        <w:rPr>
          <w:snapToGrid w:val="0"/>
          <w:sz w:val="24"/>
        </w:rPr>
      </w:pPr>
      <w:r>
        <w:rPr>
          <w:snapToGrid w:val="0"/>
          <w:sz w:val="24"/>
        </w:rPr>
        <w:t>-</w:t>
      </w:r>
      <w:r>
        <w:rPr>
          <w:snapToGrid w:val="0"/>
          <w:sz w:val="24"/>
        </w:rPr>
        <w:tab/>
        <w:t>phenolphthalein changes at pH = 8.0 rather than at 7.0</w:t>
      </w:r>
    </w:p>
    <w:p w:rsidR="00DC17D7" w:rsidRDefault="00DC17D7">
      <w:pPr>
        <w:widowControl w:val="0"/>
        <w:rPr>
          <w:snapToGrid w:val="0"/>
          <w:sz w:val="24"/>
        </w:rPr>
      </w:pPr>
    </w:p>
    <w:p w:rsidR="00DC17D7" w:rsidRDefault="00DC17D7">
      <w:pPr>
        <w:widowControl w:val="0"/>
        <w:ind w:left="576" w:hanging="576"/>
        <w:rPr>
          <w:snapToGrid w:val="0"/>
          <w:sz w:val="28"/>
        </w:rPr>
      </w:pPr>
      <w:r>
        <w:rPr>
          <w:snapToGrid w:val="0"/>
          <w:sz w:val="24"/>
        </w:rPr>
        <w:t>_________</w:t>
      </w:r>
      <w:r>
        <w:rPr>
          <w:snapToGrid w:val="0"/>
          <w:sz w:val="24"/>
        </w:rPr>
        <w:tab/>
        <w:t xml:space="preserve">out of </w:t>
      </w:r>
      <w:r>
        <w:rPr>
          <w:b/>
          <w:snapToGrid w:val="0"/>
          <w:sz w:val="24"/>
        </w:rPr>
        <w:t xml:space="preserve"> </w:t>
      </w:r>
      <w:r>
        <w:rPr>
          <w:b/>
          <w:snapToGrid w:val="0"/>
          <w:sz w:val="28"/>
        </w:rPr>
        <w:t>23</w:t>
      </w:r>
    </w:p>
    <w:sectPr w:rsidR="00DC17D7" w:rsidSect="00F82B49">
      <w:headerReference w:type="default" r:id="rId7"/>
      <w:footerReference w:type="default" r:id="rId8"/>
      <w:pgSz w:w="12240" w:h="15840"/>
      <w:pgMar w:top="1004" w:right="1008" w:bottom="730" w:left="1008" w:header="432" w:footer="432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7A1B" w:rsidRDefault="005A7A1B">
      <w:r>
        <w:separator/>
      </w:r>
    </w:p>
  </w:endnote>
  <w:endnote w:type="continuationSeparator" w:id="0">
    <w:p w:rsidR="005A7A1B" w:rsidRDefault="005A7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7D7" w:rsidRDefault="00F82B49">
    <w:pPr>
      <w:widowControl w:val="0"/>
      <w:tabs>
        <w:tab w:val="center" w:pos="5112"/>
        <w:tab w:val="right" w:pos="10224"/>
      </w:tabs>
      <w:rPr>
        <w:snapToGrid w:val="0"/>
        <w:sz w:val="24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40740" cy="295275"/>
          <wp:effectExtent l="0" t="0" r="0" b="9525"/>
          <wp:docPr id="1" name="Picture 70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0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074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>
      <w:rPr>
        <w:sz w:val="18"/>
      </w:rPr>
      <w:tab/>
    </w:r>
    <w:r>
      <w:rPr>
        <w:sz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7A1B" w:rsidRDefault="005A7A1B">
      <w:r>
        <w:separator/>
      </w:r>
    </w:p>
  </w:footnote>
  <w:footnote w:type="continuationSeparator" w:id="0">
    <w:p w:rsidR="005A7A1B" w:rsidRDefault="005A7A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7D7" w:rsidRDefault="00DC17D7">
    <w:pPr>
      <w:widowControl w:val="0"/>
      <w:tabs>
        <w:tab w:val="center" w:pos="5112"/>
        <w:tab w:val="right" w:pos="10224"/>
      </w:tabs>
      <w:rPr>
        <w:snapToGrid w:val="0"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E27"/>
    <w:rsid w:val="005A7A1B"/>
    <w:rsid w:val="00A94E27"/>
    <w:rsid w:val="00DC17D7"/>
    <w:rsid w:val="00F8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unhideWhenUsed/>
    <w:rsid w:val="00F8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49"/>
    <w:rPr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8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49"/>
    <w:rPr>
      <w:lang w:val="en-GB" w:eastAsia="en-US"/>
    </w:rPr>
  </w:style>
  <w:style w:type="character" w:styleId="PageNumber">
    <w:name w:val="page number"/>
    <w:semiHidden/>
    <w:unhideWhenUsed/>
    <w:rsid w:val="00F82B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uiPriority w:val="99"/>
    <w:unhideWhenUsed/>
    <w:rsid w:val="00F82B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2B49"/>
    <w:rPr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82B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2B49"/>
    <w:rPr>
      <w:lang w:val="en-GB" w:eastAsia="en-US"/>
    </w:rPr>
  </w:style>
  <w:style w:type="character" w:styleId="PageNumber">
    <w:name w:val="page number"/>
    <w:semiHidden/>
    <w:unhideWhenUsed/>
    <w:rsid w:val="00F8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Chemistry 20</vt:lpstr>
    </vt:vector>
  </TitlesOfParts>
  <Company>Calgary Board of Education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Chemistry 20</dc:title>
  <dc:creator>Ron Licht</dc:creator>
  <cp:lastModifiedBy>Ron H Licht</cp:lastModifiedBy>
  <cp:revision>2</cp:revision>
  <cp:lastPrinted>2016-05-30T15:58:00Z</cp:lastPrinted>
  <dcterms:created xsi:type="dcterms:W3CDTF">2016-05-30T15:59:00Z</dcterms:created>
  <dcterms:modified xsi:type="dcterms:W3CDTF">2016-05-30T15:59:00Z</dcterms:modified>
</cp:coreProperties>
</file>