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STRYV LAB</w:t>
      </w:r>
    </w:p>
    <w:p>
      <w:pPr>
        <w:spacing w:after="120"/>
        <w:jc w:val="center"/>
      </w:pPr>
      <w:r>
        <w:rPr>
          <w:b/>
          <w:bCs/>
          <w:sz w:val="32"/>
          <w:szCs w:val="32"/>
        </w:rPr>
        <w:t xml:space="preserve">Indice de Potentiel de Transformation</w:t>
      </w:r>
    </w:p>
    <w:p>
      <w:pPr>
        <w:jc w:val="center"/>
      </w:pPr>
      <w:r>
        <w:rPr>
          <w:b/>
          <w:bCs/>
          <w:sz w:val="28"/>
          <w:szCs w:val="28"/>
        </w:rPr>
        <w:t xml:space="preserve">Document Maître Complet — Architecture Système</w:t>
      </w:r>
    </w:p>
    <w:p>
      <w:pPr>
        <w:spacing w:after="60"/>
        <w:jc w:val="center"/>
      </w:pPr>
      <w:r>
        <w:rPr>
          <w:i/>
          <w:iCs/>
          <w:sz w:val="24"/>
          <w:szCs w:val="24"/>
        </w:rPr>
        <w:t xml:space="preserve">Version 2.2 — Décembre 2025</w:t>
      </w:r>
    </w:p>
    <w:p>
      <w:pPr>
        <w:spacing w:after="360"/>
        <w:jc w:val="center"/>
      </w:pPr>
      <w:r>
        <w:rPr>
          <w:color w:val="27AE60"/>
          <w:sz w:val="22"/>
          <w:szCs w:val="22"/>
        </w:rPr>
        <w:t xml:space="preserve">Statut : Document Fondateur — Optimisé Empiriquement</w:t>
      </w:r>
    </w:p>
    <w:p>
      <w:pPr>
        <w:pStyle w:val="warning"/>
      </w:pPr>
      <w:r>
        <w:t xml:space="preserve">⚠️ CHANGELOG v2.2 — OPTIMISATIONS MAJEURES</w:t>
      </w:r>
    </w:p>
    <w:p>
      <w:r>
        <w:rPr>
          <w:b/>
          <w:bCs/>
        </w:rPr>
        <w:t xml:space="preserve">✅ Pondérations optimisées empiriquement (littérature scientifique)</w:t>
      </w:r>
    </w:p>
    <w:p>
      <w:r>
        <w:rPr>
          <w:b/>
          <w:bCs/>
        </w:rPr>
        <w:t xml:space="preserve">✅ Taxonomie nettoyée P1-P8 (erreur numérotation corrigée)</w:t>
      </w:r>
    </w:p>
    <w:p>
      <w:r>
        <w:rPr>
          <w:b/>
          <w:bCs/>
        </w:rPr>
        <w:t xml:space="preserve">✅ Mode Athlete 3 niveaux (Débutant/Intermédiaire/Avancé)</w:t>
      </w:r>
    </w:p>
    <w:p>
      <w:r>
        <w:rPr>
          <w:b/>
          <w:bCs/>
        </w:rPr>
        <w:t xml:space="preserve">✅ Formule IRD algorithmique opérationnelle</w:t>
      </w:r>
    </w:p>
    <w:p>
      <w:r>
        <w:rPr>
          <w:b/>
          <w:bCs/>
        </w:rPr>
        <w:t xml:space="preserve">✅ Matrice décisionnelle Phase 1 durée</w:t>
      </w:r>
    </w:p>
    <w:p>
      <w:r>
        <w:rPr>
          <w:b/>
          <w:bCs/>
        </w:rPr>
        <w:t xml:space="preserve">✅ Framework validation empirique long terme</w:t>
      </w:r>
    </w:p>
    <w:p>
      <w:pPr>
        <w:spacing w:after="240"/>
      </w:pPr>
      <w:r>
        <w:rPr>
          <w:b/>
          <w:bCs/>
        </w:rPr>
        <w:t xml:space="preserve">✅ Optimisation applicabilité réelle (Mini-Scan 45 questions)</w:t>
      </w:r>
    </w:p>
    <w:p>
      <w:r>
        <w:rPr>
          <w:b/>
          <w:bCs/>
        </w:rPr>
        <w:t xml:space="preserve">Avertissement Légal &amp; Scientifique :</w:t>
      </w:r>
    </w:p>
    <w:p>
      <w:r>
        <w:t xml:space="preserve">Le système IPT est un outil de coaching et d'orientation lifestyle basé sur les sciences comportementales et la médecine fonctionnelle. Il ne constitue en aucun cas un outil diagnostique médical. Les recommandations générées nécessitent une interprétation experte.</w:t>
      </w:r>
    </w:p>
    <w:p>
      <w:pPr>
        <w:spacing w:after="360"/>
      </w:pPr>
      <w:r>
        <w:rPr>
          <w:i/>
          <w:iCs/>
        </w:rPr>
        <w:t xml:space="preserve">Propriété Intellectuelle : STRYV LAB © 2025</w:t>
      </w:r>
    </w:p>
    <w:p>
      <w:r>
        <w:br w:type="page"/>
      </w:r>
    </w:p>
    <w:p>
      <w:pPr>
        <w:pStyle w:val="Heading1"/>
      </w:pPr>
      <w:r>
        <w:t xml:space="preserve">TABLE DES MATIÈRES</w:t>
      </w:r>
    </w:p>
    <w:p>
      <w:r>
        <w:rPr>
          <w:b/>
          <w:bCs/>
        </w:rPr>
        <w:t xml:space="preserve">PARTIE I — STRYV LAB CONSTITUTION</w:t>
      </w:r>
    </w:p>
    <w:p>
      <w:r>
        <w:t xml:space="preserve">1.1 Vision Fondatrice</w:t>
      </w:r>
    </w:p>
    <w:p>
      <w:r>
        <w:t xml:space="preserve">1.2 Positionnement &amp; Identité</w:t>
      </w:r>
    </w:p>
    <w:p>
      <w:r>
        <w:t xml:space="preserve">1.3 Cadre Scientifique</w:t>
      </w:r>
    </w:p>
    <w:p>
      <w:r>
        <w:t xml:space="preserve">1.4 Règles Non Négociables</w:t>
      </w:r>
    </w:p>
    <w:p>
      <w:pPr>
        <w:spacing w:after="180"/>
      </w:pPr>
      <w:r>
        <w:t xml:space="preserve">1.5 Philosophie Finale</w:t>
      </w:r>
    </w:p>
    <w:p>
      <w:r>
        <w:rPr>
          <w:b/>
          <w:bCs/>
        </w:rPr>
        <w:t xml:space="preserve">PARTIE II — IPT SYSTEM BLUEPRINT v2.2 (OPTIMISÉ)</w:t>
      </w:r>
    </w:p>
    <w:p>
      <w:r>
        <w:t xml:space="preserve">2.1 Définition de l'IPT</w:t>
      </w:r>
    </w:p>
    <w:p>
      <w:r>
        <w:t xml:space="preserve">2.2 Les 5 Dimensions IPT — Pondérations Empiriques</w:t>
      </w:r>
    </w:p>
    <w:p>
      <w:r>
        <w:t xml:space="preserve">2.3 Les 8 Patterns IPT — Taxonomie Nettoyée P1-P8</w:t>
      </w:r>
    </w:p>
    <w:p>
      <w:r>
        <w:t xml:space="preserve">2.4 Formule IRD Algorithmique</w:t>
      </w:r>
    </w:p>
    <w:p>
      <w:r>
        <w:t xml:space="preserve">2.5 Règles de Calcul &amp; Algorithmes</w:t>
      </w:r>
    </w:p>
    <w:p>
      <w:r>
        <w:t xml:space="preserve">2.6 Système de Phases — Matrice Décisionnelle</w:t>
      </w:r>
    </w:p>
    <w:p>
      <w:pPr>
        <w:spacing w:after="180"/>
      </w:pPr>
      <w:r>
        <w:t xml:space="preserve">2.7 Mode Athlete — 3 Niveaux d'Expérience</w:t>
      </w:r>
    </w:p>
    <w:p>
      <w:r>
        <w:rPr>
          <w:b/>
          <w:bCs/>
        </w:rPr>
        <w:t xml:space="preserve">PARTIE III — GENESIS IMPLEMENTATION MANUAL</w:t>
      </w:r>
    </w:p>
    <w:p>
      <w:r>
        <w:t xml:space="preserve">3.1 System Prompt Genesis Ultimate v3</w:t>
      </w:r>
    </w:p>
    <w:p>
      <w:r>
        <w:t xml:space="preserve">3.2 Règles Orchestration</w:t>
      </w:r>
    </w:p>
    <w:p>
      <w:r>
        <w:t xml:space="preserve">3.3 Structures Outputs</w:t>
      </w:r>
    </w:p>
    <w:p>
      <w:pPr>
        <w:spacing w:after="180"/>
      </w:pPr>
      <w:r>
        <w:t xml:space="preserve">3.4 Bonnes Pratiques &amp; Erreurs</w:t>
      </w:r>
    </w:p>
    <w:p>
      <w:r>
        <w:rPr>
          <w:b/>
          <w:bCs/>
        </w:rPr>
        <w:t xml:space="preserve">PARTIE IV — ADDENDUM ROBUSTESSE &amp; VALIDATION</w:t>
      </w:r>
    </w:p>
    <w:p>
      <w:r>
        <w:t xml:space="preserve">4.1 Simplification Cognitive — Règle 3-1-0</w:t>
      </w:r>
    </w:p>
    <w:p>
      <w:r>
        <w:t xml:space="preserve">4.2 Patterns — Détectés vs Activés</w:t>
      </w:r>
    </w:p>
    <w:p>
      <w:r>
        <w:t xml:space="preserve">4.3 Framework Validation Empirique Long Terme</w:t>
      </w:r>
    </w:p>
    <w:p>
      <w:pPr>
        <w:spacing w:after="360"/>
      </w:pPr>
      <w:r>
        <w:t xml:space="preserve">4.4 Optimisation Applicabilité — Mini-Scan</w:t>
      </w:r>
    </w:p>
    <w:p>
      <w:r>
        <w:br w:type="page"/>
      </w:r>
    </w:p>
    <w:p>
      <w:pPr>
        <w:pStyle w:val="Heading1"/>
      </w:pPr>
      <w:r>
        <w:t xml:space="preserve">PARTIE I — STRYV LAB CONSTITUTION</w:t>
      </w:r>
    </w:p>
    <w:p>
      <w:r>
        <w:rPr>
          <w:b/>
          <w:bCs/>
        </w:rPr>
        <w:t xml:space="preserve">Vision Fondatrice :</w:t>
      </w:r>
    </w:p>
    <w:p>
      <w:r>
        <w:t xml:space="preserve">L'échec en transformation physique est majoritairement systémique, pas moral. La transformation durable est une fonction de la structure, de l'ordre d'intervention, et de l'adaptation progressive — pas de la volonté individuelle.</w:t>
      </w:r>
    </w:p>
    <w:p>
      <w:r>
        <w:rPr>
          <w:b/>
          <w:bCs/>
        </w:rPr>
        <w:t xml:space="preserve">Garantie Officielle :</w:t>
      </w:r>
    </w:p>
    <w:p>
      <w:pPr>
        <w:spacing w:after="180"/>
      </w:pPr>
      <w:r>
        <w:t xml:space="preserve">Nous ne garantissons pas un résultat. Nous garantissons un système qui maximise les chances de réussite, tout en protégeant la santé, l'adhérence et la durabilité.</w:t>
      </w:r>
    </w:p>
    <w:p>
      <w:pPr>
        <w:pStyle w:val="warning"/>
      </w:pPr>
      <w:r>
        <w:t xml:space="preserve">⚠️ INTERDICTIONS ABSOLUES</w:t>
      </w:r>
    </w:p>
    <w:p>
      <w:r>
        <w:t xml:space="preserve">❌ Aucun diagnostic médical</w:t>
      </w:r>
    </w:p>
    <w:p>
      <w:r>
        <w:t xml:space="preserve">❌ Aucune prescription thérapeutique</w:t>
      </w:r>
    </w:p>
    <w:p>
      <w:r>
        <w:t xml:space="preserve">❌ Aucune promesse de résultats</w:t>
      </w:r>
    </w:p>
    <w:p>
      <w:r>
        <w:t xml:space="preserve">❌ Culpabilisation interdite</w:t>
      </w:r>
    </w:p>
    <w:p>
      <w:pPr>
        <w:spacing w:after="240"/>
      </w:pPr>
      <w:r>
        <w:t xml:space="preserve">❌ Surcharge mentale interdite</w:t>
      </w:r>
    </w:p>
    <w:p>
      <w:r>
        <w:rPr>
          <w:b/>
          <w:bCs/>
        </w:rPr>
        <w:t xml:space="preserve">Phrase Fondatrice — Justification Scientifique IPT :</w:t>
      </w:r>
    </w:p>
    <w:p>
      <w:r>
        <w:rPr>
          <w:i/>
          <w:iCs/>
        </w:rPr>
        <w:t xml:space="preserve">L'IPT s'appuie sur des convergences issues de la physiologie humaine, de la science du comportement, de la médecine du sport et de la santé publique, afin d'identifier des patterns fonctionnels influençant la capacité de transformation.</w:t>
      </w:r>
    </w:p>
    <w:p>
      <w:r>
        <w:br w:type="page"/>
      </w:r>
    </w:p>
    <w:p>
      <w:pPr>
        <w:pStyle w:val="Heading1"/>
      </w:pPr>
      <w:r>
        <w:t xml:space="preserve">PARTIE II — IPT SYSTEM BLUEPRINT v2.2</w:t>
      </w:r>
    </w:p>
    <w:p>
      <w:pPr>
        <w:pStyle w:val="success"/>
      </w:pPr>
      <w:r>
        <w:t xml:space="preserve">✅ VERSION OPTIMISÉE EMPIRIQUEMENT</w:t>
      </w:r>
    </w:p>
    <w:p>
      <w:pPr>
        <w:pStyle w:val="Heading2"/>
      </w:pPr>
      <w:r>
        <w:t xml:space="preserve">2.1 Définition de l'IPT</w:t>
      </w:r>
    </w:p>
    <w:p>
      <w:r>
        <w:t xml:space="preserve">L'IPT (Indice de Potentiel de Transformation) est une estimation systémique de la capacité actuelle d'un individu à soutenir une transformation durable, tous objectifs confondus. L'IPT ne mesure PAS la valeur, la motivation ou la discipline — il mesure l'état fonctionnel du système humain au moment T.</w:t>
      </w:r>
    </w:p>
    <w:p>
      <w:pPr>
        <w:pStyle w:val="Heading2"/>
      </w:pPr>
      <w:r>
        <w:t xml:space="preserve">2.2 Les 5 Dimensions IPT — Pondérations Empiriques OPTIMISÉES</w:t>
      </w:r>
    </w:p>
    <w:p>
      <w:pPr>
        <w:pStyle w:val="success"/>
      </w:pPr>
      <w:r>
        <w:t xml:space="preserve">✅ NOUVEAU : Pondérations recalibrées selon littérature scientifique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1200"/>
        <w:gridCol w:w="1400"/>
        <w:gridCol w:w="3960"/>
      </w:tblGrid>
      <w:tr>
        <w:trPr>
          <w:tblHeader/>
        </w:trPr>
        <w:tc>
          <w:tcPr>
            <w:tcW w:type="dxa" w:w="28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Dimension</w:t>
            </w:r>
          </w:p>
        </w:tc>
        <w:tc>
          <w:tcPr>
            <w:tcW w:type="dxa" w:w="12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v2.1</w:t>
            </w:r>
          </w:p>
        </w:tc>
        <w:tc>
          <w:tcPr>
            <w:tcW w:type="dxa" w:w="1400"/>
            <w:tcBorders>
              <w:top w:val="single" w:color="CCCCCC" w:sz="1"/>
              <w:left w:val="single" w:color="CCCCCC" w:sz="1"/>
              <w:bottom w:val="single" w:color="CCCCCC" w:sz="1"/>
              <w:right w:val="single" w:color="CCCCCC" w:sz="1"/>
            </w:tcBorders>
            <w:shd w:fill="27AE60" w:val="clear"/>
          </w:tcPr>
          <w:p>
            <w:pPr>
              <w:jc w:val="center"/>
            </w:pPr>
            <w:r>
              <w:rPr>
                <w:b/>
                <w:bCs/>
                <w:color w:val="FFFFFF"/>
              </w:rPr>
              <w:t xml:space="preserve">v2.2 ✅</w:t>
            </w:r>
          </w:p>
        </w:tc>
        <w:tc>
          <w:tcPr>
            <w:tcW w:type="dxa" w:w="396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Validation Empirique</w:t>
            </w:r>
          </w:p>
        </w:tc>
      </w:tr>
      <w:tr>
        <w:tc>
          <w:tcPr>
            <w:tcW w:type="dxa" w:w="2800"/>
            <w:tcBorders>
              <w:top w:val="single" w:color="CCCCCC" w:sz="1"/>
              <w:left w:val="single" w:color="CCCCCC" w:sz="1"/>
              <w:bottom w:val="single" w:color="CCCCCC" w:sz="1"/>
              <w:right w:val="single" w:color="CCCCCC" w:sz="1"/>
            </w:tcBorders>
          </w:tcPr>
          <w:p>
            <w:r>
              <w:rPr>
                <w:b/>
                <w:bCs/>
              </w:rPr>
              <w:t xml:space="preserve">Hormono-Récupération</w:t>
            </w:r>
          </w:p>
        </w:tc>
        <w:tc>
          <w:tcPr>
            <w:tcW w:type="dxa" w:w="1200"/>
            <w:tcBorders>
              <w:top w:val="single" w:color="CCCCCC" w:sz="1"/>
              <w:left w:val="single" w:color="CCCCCC" w:sz="1"/>
              <w:bottom w:val="single" w:color="CCCCCC" w:sz="1"/>
              <w:right w:val="single" w:color="CCCCCC" w:sz="1"/>
            </w:tcBorders>
          </w:tcPr>
          <w:p>
            <w:pPr>
              <w:jc w:val="center"/>
            </w:pPr>
            <w:r>
              <w:rPr>
                <w:color w:val="7F8C8D"/>
              </w:rPr>
              <w:t xml:space="preserve">25%</w:t>
            </w:r>
          </w:p>
        </w:tc>
        <w:tc>
          <w:tcPr>
            <w:tcW w:type="dxa" w:w="1400"/>
            <w:tcBorders>
              <w:top w:val="single" w:color="CCCCCC" w:sz="1"/>
              <w:left w:val="single" w:color="CCCCCC" w:sz="1"/>
              <w:bottom w:val="single" w:color="CCCCCC" w:sz="1"/>
              <w:right w:val="single" w:color="CCCCCC" w:sz="1"/>
            </w:tcBorders>
            <w:shd w:fill="D5F4E6" w:val="clear"/>
          </w:tcPr>
          <w:p>
            <w:pPr>
              <w:jc w:val="center"/>
            </w:pPr>
            <w:r>
              <w:rPr>
                <w:b/>
                <w:bCs/>
                <w:color w:val="27AE60"/>
              </w:rPr>
              <w:t xml:space="preserve">30%</w:t>
            </w:r>
          </w:p>
        </w:tc>
        <w:tc>
          <w:tcPr>
            <w:tcW w:type="dxa" w:w="3960"/>
            <w:tcBorders>
              <w:top w:val="single" w:color="CCCCCC" w:sz="1"/>
              <w:left w:val="single" w:color="CCCCCC" w:sz="1"/>
              <w:bottom w:val="single" w:color="CCCCCC" w:sz="1"/>
              <w:right w:val="single" w:color="CCCCCC" w:sz="1"/>
            </w:tcBorders>
          </w:tcPr>
          <w:p>
            <w:r>
              <w:t xml:space="preserve">McEwen (1998, 2007) : Allostatic load = cascade métabolique, prédicteur #1 échec programmes</w:t>
            </w:r>
          </w:p>
        </w:tc>
      </w:tr>
      <w:tr>
        <w:tc>
          <w:tcPr>
            <w:tcW w:type="dxa" w:w="2800"/>
            <w:tcBorders>
              <w:top w:val="single" w:color="CCCCCC" w:sz="1"/>
              <w:left w:val="single" w:color="CCCCCC" w:sz="1"/>
              <w:bottom w:val="single" w:color="CCCCCC" w:sz="1"/>
              <w:right w:val="single" w:color="CCCCCC" w:sz="1"/>
            </w:tcBorders>
          </w:tcPr>
          <w:p>
            <w:r>
              <w:rPr>
                <w:b/>
                <w:bCs/>
              </w:rPr>
              <w:t xml:space="preserve">Psycho-Adhérence</w:t>
            </w:r>
          </w:p>
        </w:tc>
        <w:tc>
          <w:tcPr>
            <w:tcW w:type="dxa" w:w="1200"/>
            <w:tcBorders>
              <w:top w:val="single" w:color="CCCCCC" w:sz="1"/>
              <w:left w:val="single" w:color="CCCCCC" w:sz="1"/>
              <w:bottom w:val="single" w:color="CCCCCC" w:sz="1"/>
              <w:right w:val="single" w:color="CCCCCC" w:sz="1"/>
            </w:tcBorders>
          </w:tcPr>
          <w:p>
            <w:pPr>
              <w:jc w:val="center"/>
            </w:pPr>
            <w:r>
              <w:rPr>
                <w:color w:val="7F8C8D"/>
              </w:rPr>
              <w:t xml:space="preserve">20%</w:t>
            </w:r>
          </w:p>
        </w:tc>
        <w:tc>
          <w:tcPr>
            <w:tcW w:type="dxa" w:w="1400"/>
            <w:tcBorders>
              <w:top w:val="single" w:color="CCCCCC" w:sz="1"/>
              <w:left w:val="single" w:color="CCCCCC" w:sz="1"/>
              <w:bottom w:val="single" w:color="CCCCCC" w:sz="1"/>
              <w:right w:val="single" w:color="CCCCCC" w:sz="1"/>
            </w:tcBorders>
            <w:shd w:fill="D5F4E6" w:val="clear"/>
          </w:tcPr>
          <w:p>
            <w:pPr>
              <w:jc w:val="center"/>
            </w:pPr>
            <w:r>
              <w:rPr>
                <w:b/>
                <w:bCs/>
                <w:color w:val="27AE60"/>
              </w:rPr>
              <w:t xml:space="preserve">25%</w:t>
            </w:r>
          </w:p>
        </w:tc>
        <w:tc>
          <w:tcPr>
            <w:tcW w:type="dxa" w:w="3960"/>
            <w:tcBorders>
              <w:top w:val="single" w:color="CCCCCC" w:sz="1"/>
              <w:left w:val="single" w:color="CCCCCC" w:sz="1"/>
              <w:bottom w:val="single" w:color="CCCCCC" w:sz="1"/>
              <w:right w:val="single" w:color="CCCCCC" w:sz="1"/>
            </w:tcBorders>
          </w:tcPr>
          <w:p>
            <w:r>
              <w:t xml:space="preserve">Teixeira et al. (2015) : Adhérence passée = prédicteur #1 succès long terme, self-efficacy critique</w:t>
            </w:r>
          </w:p>
        </w:tc>
      </w:tr>
      <w:tr>
        <w:tc>
          <w:tcPr>
            <w:tcW w:type="dxa" w:w="2800"/>
            <w:tcBorders>
              <w:top w:val="single" w:color="CCCCCC" w:sz="1"/>
              <w:left w:val="single" w:color="CCCCCC" w:sz="1"/>
              <w:bottom w:val="single" w:color="CCCCCC" w:sz="1"/>
              <w:right w:val="single" w:color="CCCCCC" w:sz="1"/>
            </w:tcBorders>
          </w:tcPr>
          <w:p>
            <w:r>
              <w:rPr>
                <w:b/>
                <w:bCs/>
              </w:rPr>
              <w:t xml:space="preserve">Métabolique</w:t>
            </w:r>
          </w:p>
        </w:tc>
        <w:tc>
          <w:tcPr>
            <w:tcW w:type="dxa" w:w="1200"/>
            <w:tcBorders>
              <w:top w:val="single" w:color="CCCCCC" w:sz="1"/>
              <w:left w:val="single" w:color="CCCCCC" w:sz="1"/>
              <w:bottom w:val="single" w:color="CCCCCC" w:sz="1"/>
              <w:right w:val="single" w:color="CCCCCC" w:sz="1"/>
            </w:tcBorders>
          </w:tcPr>
          <w:p>
            <w:pPr>
              <w:jc w:val="center"/>
            </w:pPr>
            <w:r>
              <w:rPr>
                <w:color w:val="7F8C8D"/>
              </w:rPr>
              <w:t xml:space="preserve">30%</w:t>
            </w:r>
          </w:p>
        </w:tc>
        <w:tc>
          <w:tcPr>
            <w:tcW w:type="dxa" w:w="1400"/>
            <w:tcBorders>
              <w:top w:val="single" w:color="CCCCCC" w:sz="1"/>
              <w:left w:val="single" w:color="CCCCCC" w:sz="1"/>
              <w:bottom w:val="single" w:color="CCCCCC" w:sz="1"/>
              <w:right w:val="single" w:color="CCCCCC" w:sz="1"/>
            </w:tcBorders>
            <w:shd w:fill="D5F4E6" w:val="clear"/>
          </w:tcPr>
          <w:p>
            <w:pPr>
              <w:jc w:val="center"/>
            </w:pPr>
            <w:r>
              <w:rPr>
                <w:b/>
                <w:bCs/>
                <w:color w:val="27AE60"/>
              </w:rPr>
              <w:t xml:space="preserve">25%</w:t>
            </w:r>
          </w:p>
        </w:tc>
        <w:tc>
          <w:tcPr>
            <w:tcW w:type="dxa" w:w="3960"/>
            <w:tcBorders>
              <w:top w:val="single" w:color="CCCCCC" w:sz="1"/>
              <w:left w:val="single" w:color="CCCCCC" w:sz="1"/>
              <w:bottom w:val="single" w:color="CCCCCC" w:sz="1"/>
              <w:right w:val="single" w:color="CCCCCC" w:sz="1"/>
            </w:tcBorders>
          </w:tcPr>
          <w:p>
            <w:r>
              <w:t xml:space="preserve">Frayn (2010), Brooks et al. : Régulation glycémique = base énergétique, mais secondaire vs stress/adhérence</w:t>
            </w:r>
          </w:p>
        </w:tc>
      </w:tr>
      <w:tr>
        <w:tc>
          <w:tcPr>
            <w:tcW w:type="dxa" w:w="2800"/>
            <w:tcBorders>
              <w:top w:val="single" w:color="CCCCCC" w:sz="1"/>
              <w:left w:val="single" w:color="CCCCCC" w:sz="1"/>
              <w:bottom w:val="single" w:color="CCCCCC" w:sz="1"/>
              <w:right w:val="single" w:color="CCCCCC" w:sz="1"/>
            </w:tcBorders>
          </w:tcPr>
          <w:p>
            <w:r>
              <w:rPr>
                <w:b/>
                <w:bCs/>
              </w:rPr>
              <w:t xml:space="preserve">Structure/Environnement</w:t>
            </w:r>
          </w:p>
        </w:tc>
        <w:tc>
          <w:tcPr>
            <w:tcW w:type="dxa" w:w="1200"/>
            <w:tcBorders>
              <w:top w:val="single" w:color="CCCCCC" w:sz="1"/>
              <w:left w:val="single" w:color="CCCCCC" w:sz="1"/>
              <w:bottom w:val="single" w:color="CCCCCC" w:sz="1"/>
              <w:right w:val="single" w:color="CCCCCC" w:sz="1"/>
            </w:tcBorders>
          </w:tcPr>
          <w:p>
            <w:pPr>
              <w:jc w:val="center"/>
            </w:pPr>
            <w:r>
              <w:rPr>
                <w:color w:val="7F8C8D"/>
              </w:rPr>
              <w:t xml:space="preserve">15%</w:t>
            </w:r>
          </w:p>
        </w:tc>
        <w:tc>
          <w:tcPr>
            <w:tcW w:type="dxa" w:w="1400"/>
            <w:tcBorders>
              <w:top w:val="single" w:color="CCCCCC" w:sz="1"/>
              <w:left w:val="single" w:color="CCCCCC" w:sz="1"/>
              <w:bottom w:val="single" w:color="CCCCCC" w:sz="1"/>
              <w:right w:val="single" w:color="CCCCCC" w:sz="1"/>
            </w:tcBorders>
            <w:shd w:fill="F0F0F0" w:val="clear"/>
          </w:tcPr>
          <w:p>
            <w:pPr>
              <w:jc w:val="center"/>
            </w:pPr>
            <w:r>
              <w:rPr>
                <w:b/>
                <w:bCs/>
              </w:rPr>
              <w:t xml:space="preserve">15%</w:t>
            </w:r>
          </w:p>
        </w:tc>
        <w:tc>
          <w:tcPr>
            <w:tcW w:type="dxa" w:w="3960"/>
            <w:tcBorders>
              <w:top w:val="single" w:color="CCCCCC" w:sz="1"/>
              <w:left w:val="single" w:color="CCCCCC" w:sz="1"/>
              <w:bottom w:val="single" w:color="CCCCCC" w:sz="1"/>
              <w:right w:val="single" w:color="CCCCCC" w:sz="1"/>
            </w:tcBorders>
          </w:tcPr>
          <w:p>
            <w:r>
              <w:t xml:space="preserve">WHO (Déterminants sociaux santé) : Environnement stable, impact modéré mais réel</w:t>
            </w:r>
          </w:p>
        </w:tc>
      </w:tr>
      <w:tr>
        <w:tc>
          <w:tcPr>
            <w:tcW w:type="dxa" w:w="2800"/>
            <w:tcBorders>
              <w:top w:val="single" w:color="CCCCCC" w:sz="1"/>
              <w:left w:val="single" w:color="CCCCCC" w:sz="1"/>
              <w:bottom w:val="single" w:color="CCCCCC" w:sz="1"/>
              <w:right w:val="single" w:color="CCCCCC" w:sz="1"/>
            </w:tcBorders>
          </w:tcPr>
          <w:p>
            <w:r>
              <w:rPr>
                <w:b/>
                <w:bCs/>
              </w:rPr>
              <w:t xml:space="preserve">Stimulus/Stratégie</w:t>
            </w:r>
          </w:p>
        </w:tc>
        <w:tc>
          <w:tcPr>
            <w:tcW w:type="dxa" w:w="1200"/>
            <w:tcBorders>
              <w:top w:val="single" w:color="CCCCCC" w:sz="1"/>
              <w:left w:val="single" w:color="CCCCCC" w:sz="1"/>
              <w:bottom w:val="single" w:color="CCCCCC" w:sz="1"/>
              <w:right w:val="single" w:color="CCCCCC" w:sz="1"/>
            </w:tcBorders>
          </w:tcPr>
          <w:p>
            <w:pPr>
              <w:jc w:val="center"/>
            </w:pPr>
            <w:r>
              <w:rPr>
                <w:color w:val="7F8C8D"/>
              </w:rPr>
              <w:t xml:space="preserve">10%</w:t>
            </w:r>
          </w:p>
        </w:tc>
        <w:tc>
          <w:tcPr>
            <w:tcW w:type="dxa" w:w="1400"/>
            <w:tcBorders>
              <w:top w:val="single" w:color="CCCCCC" w:sz="1"/>
              <w:left w:val="single" w:color="CCCCCC" w:sz="1"/>
              <w:bottom w:val="single" w:color="CCCCCC" w:sz="1"/>
              <w:right w:val="single" w:color="CCCCCC" w:sz="1"/>
            </w:tcBorders>
            <w:shd w:fill="D5F4E6" w:val="clear"/>
          </w:tcPr>
          <w:p>
            <w:pPr>
              <w:jc w:val="center"/>
            </w:pPr>
            <w:r>
              <w:rPr>
                <w:b/>
                <w:bCs/>
                <w:color w:val="27AE60"/>
              </w:rPr>
              <w:t xml:space="preserve">5%</w:t>
            </w:r>
          </w:p>
        </w:tc>
        <w:tc>
          <w:tcPr>
            <w:tcW w:type="dxa" w:w="3960"/>
            <w:tcBorders>
              <w:top w:val="single" w:color="CCCCCC" w:sz="1"/>
              <w:left w:val="single" w:color="CCCCCC" w:sz="1"/>
              <w:bottom w:val="single" w:color="CCCCCC" w:sz="1"/>
              <w:right w:val="single" w:color="CCCCCC" w:sz="1"/>
            </w:tcBorders>
          </w:tcPr>
          <w:p>
            <w:r>
              <w:t xml:space="preserve">ACSM (2018) : Stimulus important MAIS si bases stables. Sinon impact faible.</w:t>
            </w:r>
          </w:p>
        </w:tc>
      </w:tr>
    </w:tbl>
    <w:p>
      <w:pPr>
        <w:pStyle w:val="formula"/>
      </w:pPr>
      <w:r>
        <w:t xml:space="preserve">IPT_TOTAL = 100 - Σ(Patterns × Poids_Dimension_v2.2)</w:t>
      </w:r>
    </w:p>
    <w:p>
      <w:r>
        <w:rPr>
          <w:b/>
          <w:bCs/>
        </w:rPr>
        <w:t xml:space="preserve">Justification recalibrage :</w:t>
      </w:r>
    </w:p>
    <w:p>
      <w:r>
        <w:t xml:space="preserve">• Stress chronique (D2) = cascade métabolique + épuisement adaptatif → Impact maximal</w:t>
      </w:r>
    </w:p>
    <w:p>
      <w:r>
        <w:t xml:space="preserve">• Adhérence passée (D3) = prédicteur statistique #1 selon méta-analyses → Poids augmenté</w:t>
      </w:r>
    </w:p>
    <w:p>
      <w:r>
        <w:t xml:space="preserve">• Métabolisme (D1) = important MAIS réversible si stress/adhérence contrôlés → Poids réduit</w:t>
      </w:r>
    </w:p>
    <w:p>
      <w:pPr>
        <w:spacing w:after="360"/>
      </w:pPr>
      <w:r>
        <w:t xml:space="preserve">• Stimulus (D5) = nécessaire MAIS impact faible si fondations instables → Poids minimal</w:t>
      </w:r>
    </w:p>
    <w:p>
      <w:r>
        <w:br w:type="page"/>
      </w:r>
    </w:p>
    <w:p>
      <w:pPr>
        <w:pStyle w:val="Heading2"/>
      </w:pPr>
      <w:r>
        <w:t xml:space="preserve">2.3 Les 8 Patterns IPT — Taxonomie Nettoyée P1-P8</w:t>
      </w:r>
    </w:p>
    <w:p>
      <w:pPr>
        <w:pStyle w:val="success"/>
      </w:pPr>
      <w:r>
        <w:t xml:space="preserve">✅ NOUVEAU : Erreur numérotation corrigée — Nomenclature cohérente P1-P8</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200"/>
        <w:gridCol w:w="3300"/>
        <w:gridCol w:w="3300"/>
        <w:gridCol w:w="1560"/>
      </w:tblGrid>
      <w:tr>
        <w:trPr>
          <w:tblHeader/>
        </w:trPr>
        <w:tc>
          <w:tcPr>
            <w:tcW w:type="dxa" w:w="12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Pattern</w:t>
            </w:r>
          </w:p>
        </w:tc>
        <w:tc>
          <w:tcPr>
            <w:tcW w:type="dxa" w:w="33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Description</w:t>
            </w:r>
          </w:p>
        </w:tc>
        <w:tc>
          <w:tcPr>
            <w:tcW w:type="dxa" w:w="33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Dimension</w:t>
            </w:r>
          </w:p>
        </w:tc>
        <w:tc>
          <w:tcPr>
            <w:tcW w:type="dxa" w:w="156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Priorité</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P1</w:t>
            </w:r>
          </w:p>
        </w:tc>
        <w:tc>
          <w:tcPr>
            <w:tcW w:type="dxa" w:w="3300"/>
            <w:tcBorders>
              <w:top w:val="single" w:color="CCCCCC" w:sz="1"/>
              <w:left w:val="single" w:color="CCCCCC" w:sz="1"/>
              <w:bottom w:val="single" w:color="CCCCCC" w:sz="1"/>
              <w:right w:val="single" w:color="CCCCCC" w:sz="1"/>
            </w:tcBorders>
          </w:tcPr>
          <w:p>
            <w:r>
              <w:t xml:space="preserve">Régulation énergétique instable</w:t>
            </w:r>
          </w:p>
        </w:tc>
        <w:tc>
          <w:tcPr>
            <w:tcW w:type="dxa" w:w="3300"/>
            <w:tcBorders>
              <w:top w:val="single" w:color="CCCCCC" w:sz="1"/>
              <w:left w:val="single" w:color="CCCCCC" w:sz="1"/>
              <w:bottom w:val="single" w:color="CCCCCC" w:sz="1"/>
              <w:right w:val="single" w:color="CCCCCC" w:sz="1"/>
            </w:tcBorders>
          </w:tcPr>
          <w:p>
            <w:r>
              <w:t xml:space="preserve">Métabolique (25%)</w:t>
            </w:r>
          </w:p>
        </w:tc>
        <w:tc>
          <w:tcPr>
            <w:tcW w:type="dxa" w:w="1560"/>
            <w:tcBorders>
              <w:top w:val="single" w:color="CCCCCC" w:sz="1"/>
              <w:left w:val="single" w:color="CCCCCC" w:sz="1"/>
              <w:bottom w:val="single" w:color="CCCCCC" w:sz="1"/>
              <w:right w:val="single" w:color="CCCCCC" w:sz="1"/>
            </w:tcBorders>
          </w:tcPr>
          <w:p>
            <w:pPr>
              <w:jc w:val="center"/>
            </w:pPr>
            <w:r>
              <w:t xml:space="preserve">Standard</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P2</w:t>
            </w:r>
          </w:p>
        </w:tc>
        <w:tc>
          <w:tcPr>
            <w:tcW w:type="dxa" w:w="3300"/>
            <w:tcBorders>
              <w:top w:val="single" w:color="CCCCCC" w:sz="1"/>
              <w:left w:val="single" w:color="CCCCCC" w:sz="1"/>
              <w:bottom w:val="single" w:color="CCCCCC" w:sz="1"/>
              <w:right w:val="single" w:color="CCCCCC" w:sz="1"/>
            </w:tcBorders>
          </w:tcPr>
          <w:p>
            <w:r>
              <w:t xml:space="preserve">Adaptation métabolique défavorable</w:t>
            </w:r>
          </w:p>
        </w:tc>
        <w:tc>
          <w:tcPr>
            <w:tcW w:type="dxa" w:w="3300"/>
            <w:tcBorders>
              <w:top w:val="single" w:color="CCCCCC" w:sz="1"/>
              <w:left w:val="single" w:color="CCCCCC" w:sz="1"/>
              <w:bottom w:val="single" w:color="CCCCCC" w:sz="1"/>
              <w:right w:val="single" w:color="CCCCCC" w:sz="1"/>
            </w:tcBorders>
          </w:tcPr>
          <w:p>
            <w:r>
              <w:t xml:space="preserve">Métabolique (25%)</w:t>
            </w:r>
          </w:p>
        </w:tc>
        <w:tc>
          <w:tcPr>
            <w:tcW w:type="dxa" w:w="1560"/>
            <w:tcBorders>
              <w:top w:val="single" w:color="CCCCCC" w:sz="1"/>
              <w:left w:val="single" w:color="CCCCCC" w:sz="1"/>
              <w:bottom w:val="single" w:color="CCCCCC" w:sz="1"/>
              <w:right w:val="single" w:color="CCCCCC" w:sz="1"/>
            </w:tcBorders>
          </w:tcPr>
          <w:p>
            <w:pPr>
              <w:jc w:val="center"/>
            </w:pPr>
            <w:r>
              <w:t xml:space="preserve">Standard</w:t>
            </w:r>
          </w:p>
        </w:tc>
      </w:tr>
      <w:tr>
        <w:tc>
          <w:tcPr>
            <w:tcW w:type="dxa" w:w="1200"/>
            <w:tcBorders>
              <w:top w:val="single" w:color="CCCCCC" w:sz="1"/>
              <w:left w:val="single" w:color="CCCCCC" w:sz="1"/>
              <w:bottom w:val="single" w:color="CCCCCC" w:sz="1"/>
              <w:right w:val="single" w:color="CCCCCC" w:sz="1"/>
            </w:tcBorders>
            <w:shd w:fill="FADBD8" w:val="clear"/>
          </w:tcPr>
          <w:p>
            <w:pPr>
              <w:jc w:val="center"/>
            </w:pPr>
            <w:r>
              <w:rPr>
                <w:b/>
                <w:bCs/>
                <w:color w:val="E74C3C"/>
              </w:rPr>
              <w:t xml:space="preserve">P3</w:t>
            </w:r>
          </w:p>
        </w:tc>
        <w:tc>
          <w:tcPr>
            <w:tcW w:type="dxa" w:w="3300"/>
            <w:tcBorders>
              <w:top w:val="single" w:color="CCCCCC" w:sz="1"/>
              <w:left w:val="single" w:color="CCCCCC" w:sz="1"/>
              <w:bottom w:val="single" w:color="CCCCCC" w:sz="1"/>
              <w:right w:val="single" w:color="CCCCCC" w:sz="1"/>
            </w:tcBorders>
            <w:shd w:fill="FADBD8" w:val="clear"/>
          </w:tcPr>
          <w:p>
            <w:r>
              <w:rPr>
                <w:b/>
                <w:bCs/>
              </w:rPr>
              <w:t xml:space="preserve">Charge stress adaptatif élevée</w:t>
            </w:r>
          </w:p>
        </w:tc>
        <w:tc>
          <w:tcPr>
            <w:tcW w:type="dxa" w:w="3300"/>
            <w:tcBorders>
              <w:top w:val="single" w:color="CCCCCC" w:sz="1"/>
              <w:left w:val="single" w:color="CCCCCC" w:sz="1"/>
              <w:bottom w:val="single" w:color="CCCCCC" w:sz="1"/>
              <w:right w:val="single" w:color="CCCCCC" w:sz="1"/>
            </w:tcBorders>
            <w:shd w:fill="FADBD8" w:val="clear"/>
          </w:tcPr>
          <w:p>
            <w:r>
              <w:t xml:space="preserve">Hormono-Récupération (30%)</w:t>
            </w:r>
          </w:p>
        </w:tc>
        <w:tc>
          <w:tcPr>
            <w:tcW w:type="dxa" w:w="1560"/>
            <w:tcBorders>
              <w:top w:val="single" w:color="CCCCCC" w:sz="1"/>
              <w:left w:val="single" w:color="CCCCCC" w:sz="1"/>
              <w:bottom w:val="single" w:color="CCCCCC" w:sz="1"/>
              <w:right w:val="single" w:color="CCCCCC" w:sz="1"/>
            </w:tcBorders>
            <w:shd w:fill="FADBD8" w:val="clear"/>
          </w:tcPr>
          <w:p>
            <w:pPr>
              <w:jc w:val="center"/>
            </w:pPr>
            <w:r>
              <w:rPr>
                <w:b/>
                <w:bCs/>
                <w:color w:val="E74C3C"/>
              </w:rPr>
              <w:t xml:space="preserve">ABSOLUE</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P4</w:t>
            </w:r>
          </w:p>
        </w:tc>
        <w:tc>
          <w:tcPr>
            <w:tcW w:type="dxa" w:w="3300"/>
            <w:tcBorders>
              <w:top w:val="single" w:color="CCCCCC" w:sz="1"/>
              <w:left w:val="single" w:color="CCCCCC" w:sz="1"/>
              <w:bottom w:val="single" w:color="CCCCCC" w:sz="1"/>
              <w:right w:val="single" w:color="CCCCCC" w:sz="1"/>
            </w:tcBorders>
          </w:tcPr>
          <w:p>
            <w:r>
              <w:t xml:space="preserve">Récupération insuffisante</w:t>
            </w:r>
          </w:p>
        </w:tc>
        <w:tc>
          <w:tcPr>
            <w:tcW w:type="dxa" w:w="3300"/>
            <w:tcBorders>
              <w:top w:val="single" w:color="CCCCCC" w:sz="1"/>
              <w:left w:val="single" w:color="CCCCCC" w:sz="1"/>
              <w:bottom w:val="single" w:color="CCCCCC" w:sz="1"/>
              <w:right w:val="single" w:color="CCCCCC" w:sz="1"/>
            </w:tcBorders>
          </w:tcPr>
          <w:p>
            <w:r>
              <w:t xml:space="preserve">Hormono-Récupération (30%)</w:t>
            </w:r>
          </w:p>
        </w:tc>
        <w:tc>
          <w:tcPr>
            <w:tcW w:type="dxa" w:w="1560"/>
            <w:tcBorders>
              <w:top w:val="single" w:color="CCCCCC" w:sz="1"/>
              <w:left w:val="single" w:color="CCCCCC" w:sz="1"/>
              <w:bottom w:val="single" w:color="CCCCCC" w:sz="1"/>
              <w:right w:val="single" w:color="CCCCCC" w:sz="1"/>
            </w:tcBorders>
          </w:tcPr>
          <w:p>
            <w:pPr>
              <w:jc w:val="center"/>
            </w:pPr>
            <w:r>
              <w:t xml:space="preserve">Standard</w:t>
            </w:r>
          </w:p>
        </w:tc>
      </w:tr>
      <w:tr>
        <w:tc>
          <w:tcPr>
            <w:tcW w:type="dxa" w:w="1200"/>
            <w:tcBorders>
              <w:top w:val="single" w:color="CCCCCC" w:sz="1"/>
              <w:left w:val="single" w:color="CCCCCC" w:sz="1"/>
              <w:bottom w:val="single" w:color="CCCCCC" w:sz="1"/>
              <w:right w:val="single" w:color="CCCCCC" w:sz="1"/>
            </w:tcBorders>
            <w:shd w:fill="FADBD8" w:val="clear"/>
          </w:tcPr>
          <w:p>
            <w:pPr>
              <w:jc w:val="center"/>
            </w:pPr>
            <w:r>
              <w:rPr>
                <w:b/>
                <w:bCs/>
                <w:color w:val="E74C3C"/>
              </w:rPr>
              <w:t xml:space="preserve">P5</w:t>
            </w:r>
          </w:p>
        </w:tc>
        <w:tc>
          <w:tcPr>
            <w:tcW w:type="dxa" w:w="3300"/>
            <w:tcBorders>
              <w:top w:val="single" w:color="CCCCCC" w:sz="1"/>
              <w:left w:val="single" w:color="CCCCCC" w:sz="1"/>
              <w:bottom w:val="single" w:color="CCCCCC" w:sz="1"/>
              <w:right w:val="single" w:color="CCCCCC" w:sz="1"/>
            </w:tcBorders>
            <w:shd w:fill="FADBD8" w:val="clear"/>
          </w:tcPr>
          <w:p>
            <w:r>
              <w:rPr>
                <w:b/>
                <w:bCs/>
              </w:rPr>
              <w:t xml:space="preserve">Adhérence structurellement fragile</w:t>
            </w:r>
          </w:p>
        </w:tc>
        <w:tc>
          <w:tcPr>
            <w:tcW w:type="dxa" w:w="3300"/>
            <w:tcBorders>
              <w:top w:val="single" w:color="CCCCCC" w:sz="1"/>
              <w:left w:val="single" w:color="CCCCCC" w:sz="1"/>
              <w:bottom w:val="single" w:color="CCCCCC" w:sz="1"/>
              <w:right w:val="single" w:color="CCCCCC" w:sz="1"/>
            </w:tcBorders>
            <w:shd w:fill="FADBD8" w:val="clear"/>
          </w:tcPr>
          <w:p>
            <w:r>
              <w:t xml:space="preserve">Psycho-Adhérence (25%)</w:t>
            </w:r>
          </w:p>
        </w:tc>
        <w:tc>
          <w:tcPr>
            <w:tcW w:type="dxa" w:w="1560"/>
            <w:tcBorders>
              <w:top w:val="single" w:color="CCCCCC" w:sz="1"/>
              <w:left w:val="single" w:color="CCCCCC" w:sz="1"/>
              <w:bottom w:val="single" w:color="CCCCCC" w:sz="1"/>
              <w:right w:val="single" w:color="CCCCCC" w:sz="1"/>
            </w:tcBorders>
            <w:shd w:fill="FADBD8" w:val="clear"/>
          </w:tcPr>
          <w:p>
            <w:pPr>
              <w:jc w:val="center"/>
            </w:pPr>
            <w:r>
              <w:rPr>
                <w:b/>
                <w:bCs/>
                <w:color w:val="E74C3C"/>
              </w:rPr>
              <w:t xml:space="preserve">ABSOLUE</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P6</w:t>
            </w:r>
          </w:p>
        </w:tc>
        <w:tc>
          <w:tcPr>
            <w:tcW w:type="dxa" w:w="3300"/>
            <w:tcBorders>
              <w:top w:val="single" w:color="CCCCCC" w:sz="1"/>
              <w:left w:val="single" w:color="CCCCCC" w:sz="1"/>
              <w:bottom w:val="single" w:color="CCCCCC" w:sz="1"/>
              <w:right w:val="single" w:color="CCCCCC" w:sz="1"/>
            </w:tcBorders>
          </w:tcPr>
          <w:p>
            <w:r>
              <w:t xml:space="preserve">Friction mentale / surcharge cognitive</w:t>
            </w:r>
          </w:p>
        </w:tc>
        <w:tc>
          <w:tcPr>
            <w:tcW w:type="dxa" w:w="3300"/>
            <w:tcBorders>
              <w:top w:val="single" w:color="CCCCCC" w:sz="1"/>
              <w:left w:val="single" w:color="CCCCCC" w:sz="1"/>
              <w:bottom w:val="single" w:color="CCCCCC" w:sz="1"/>
              <w:right w:val="single" w:color="CCCCCC" w:sz="1"/>
            </w:tcBorders>
          </w:tcPr>
          <w:p>
            <w:r>
              <w:t xml:space="preserve">Psycho-Adhérence (25%)</w:t>
            </w:r>
          </w:p>
        </w:tc>
        <w:tc>
          <w:tcPr>
            <w:tcW w:type="dxa" w:w="1560"/>
            <w:tcBorders>
              <w:top w:val="single" w:color="CCCCCC" w:sz="1"/>
              <w:left w:val="single" w:color="CCCCCC" w:sz="1"/>
              <w:bottom w:val="single" w:color="CCCCCC" w:sz="1"/>
              <w:right w:val="single" w:color="CCCCCC" w:sz="1"/>
            </w:tcBorders>
          </w:tcPr>
          <w:p>
            <w:pPr>
              <w:jc w:val="center"/>
            </w:pPr>
            <w:r>
              <w:t xml:space="preserve">Standard</w:t>
            </w:r>
          </w:p>
        </w:tc>
      </w:tr>
      <w:tr>
        <w:tc>
          <w:tcPr>
            <w:tcW w:type="dxa" w:w="1200"/>
            <w:tcBorders>
              <w:top w:val="single" w:color="CCCCCC" w:sz="1"/>
              <w:left w:val="single" w:color="CCCCCC" w:sz="1"/>
              <w:bottom w:val="single" w:color="CCCCCC" w:sz="1"/>
              <w:right w:val="single" w:color="CCCCCC" w:sz="1"/>
            </w:tcBorders>
            <w:shd w:fill="FADBD8" w:val="clear"/>
          </w:tcPr>
          <w:p>
            <w:pPr>
              <w:jc w:val="center"/>
            </w:pPr>
            <w:r>
              <w:rPr>
                <w:b/>
                <w:bCs/>
                <w:color w:val="E74C3C"/>
              </w:rPr>
              <w:t xml:space="preserve">P7</w:t>
            </w:r>
          </w:p>
        </w:tc>
        <w:tc>
          <w:tcPr>
            <w:tcW w:type="dxa" w:w="3300"/>
            <w:tcBorders>
              <w:top w:val="single" w:color="CCCCCC" w:sz="1"/>
              <w:left w:val="single" w:color="CCCCCC" w:sz="1"/>
              <w:bottom w:val="single" w:color="CCCCCC" w:sz="1"/>
              <w:right w:val="single" w:color="CCCCCC" w:sz="1"/>
            </w:tcBorders>
            <w:shd w:fill="FADBD8" w:val="clear"/>
          </w:tcPr>
          <w:p>
            <w:r>
              <w:rPr>
                <w:b/>
                <w:bCs/>
              </w:rPr>
              <w:t xml:space="preserve">Environnement contraignant</w:t>
            </w:r>
          </w:p>
        </w:tc>
        <w:tc>
          <w:tcPr>
            <w:tcW w:type="dxa" w:w="3300"/>
            <w:tcBorders>
              <w:top w:val="single" w:color="CCCCCC" w:sz="1"/>
              <w:left w:val="single" w:color="CCCCCC" w:sz="1"/>
              <w:bottom w:val="single" w:color="CCCCCC" w:sz="1"/>
              <w:right w:val="single" w:color="CCCCCC" w:sz="1"/>
            </w:tcBorders>
            <w:shd w:fill="FADBD8" w:val="clear"/>
          </w:tcPr>
          <w:p>
            <w:r>
              <w:t xml:space="preserve">Structure/Environnement (15%)</w:t>
            </w:r>
          </w:p>
        </w:tc>
        <w:tc>
          <w:tcPr>
            <w:tcW w:type="dxa" w:w="1560"/>
            <w:tcBorders>
              <w:top w:val="single" w:color="CCCCCC" w:sz="1"/>
              <w:left w:val="single" w:color="CCCCCC" w:sz="1"/>
              <w:bottom w:val="single" w:color="CCCCCC" w:sz="1"/>
              <w:right w:val="single" w:color="CCCCCC" w:sz="1"/>
            </w:tcBorders>
            <w:shd w:fill="FADBD8" w:val="clear"/>
          </w:tcPr>
          <w:p>
            <w:pPr>
              <w:jc w:val="center"/>
            </w:pPr>
            <w:r>
              <w:rPr>
                <w:b/>
                <w:bCs/>
                <w:color w:val="E74C3C"/>
              </w:rPr>
              <w:t xml:space="preserve">ABSOLUE</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P8</w:t>
            </w:r>
          </w:p>
        </w:tc>
        <w:tc>
          <w:tcPr>
            <w:tcW w:type="dxa" w:w="3300"/>
            <w:tcBorders>
              <w:top w:val="single" w:color="CCCCCC" w:sz="1"/>
              <w:left w:val="single" w:color="CCCCCC" w:sz="1"/>
              <w:bottom w:val="single" w:color="CCCCCC" w:sz="1"/>
              <w:right w:val="single" w:color="CCCCCC" w:sz="1"/>
            </w:tcBorders>
          </w:tcPr>
          <w:p>
            <w:r>
              <w:t xml:space="preserve">Stimulus inadapté / excessif</w:t>
            </w:r>
          </w:p>
        </w:tc>
        <w:tc>
          <w:tcPr>
            <w:tcW w:type="dxa" w:w="3300"/>
            <w:tcBorders>
              <w:top w:val="single" w:color="CCCCCC" w:sz="1"/>
              <w:left w:val="single" w:color="CCCCCC" w:sz="1"/>
              <w:bottom w:val="single" w:color="CCCCCC" w:sz="1"/>
              <w:right w:val="single" w:color="CCCCCC" w:sz="1"/>
            </w:tcBorders>
          </w:tcPr>
          <w:p>
            <w:r>
              <w:t xml:space="preserve">Stimulus/Stratégie (5%)</w:t>
            </w:r>
          </w:p>
        </w:tc>
        <w:tc>
          <w:tcPr>
            <w:tcW w:type="dxa" w:w="1560"/>
            <w:tcBorders>
              <w:top w:val="single" w:color="CCCCCC" w:sz="1"/>
              <w:left w:val="single" w:color="CCCCCC" w:sz="1"/>
              <w:bottom w:val="single" w:color="CCCCCC" w:sz="1"/>
              <w:right w:val="single" w:color="CCCCCC" w:sz="1"/>
            </w:tcBorders>
          </w:tcPr>
          <w:p>
            <w:pPr>
              <w:jc w:val="center"/>
            </w:pPr>
            <w:r>
              <w:t xml:space="preserve">Standard</w:t>
            </w:r>
          </w:p>
        </w:tc>
      </w:tr>
    </w:tbl>
    <w:p>
      <w:pPr>
        <w:pStyle w:val="warning"/>
      </w:pPr>
      <w:r>
        <w:t xml:space="preserve">⚠️ RÈGLE ABSOLUE : P3 / P5 / P7 (priorité absolue) → PHASE 1 OBLIGATOIRE si élevés</w:t>
      </w:r>
    </w:p>
    <w:p>
      <w:r>
        <w:br w:type="page"/>
      </w:r>
    </w:p>
    <w:p>
      <w:pPr>
        <w:pStyle w:val="Heading2"/>
      </w:pPr>
      <w:r>
        <w:t xml:space="preserve">2.4 Formule IRD Algorithmique — NOUVEAU</w:t>
      </w:r>
    </w:p>
    <w:p>
      <w:pPr>
        <w:pStyle w:val="success"/>
      </w:pPr>
      <w:r>
        <w:t xml:space="preserve">✅ NOUVEAU : Algorithme opérationnel pour détection incohérences déclaratives</w:t>
      </w:r>
    </w:p>
    <w:p>
      <w:r>
        <w:rPr>
          <w:b/>
          <w:bCs/>
        </w:rPr>
        <w:t xml:space="preserve">Principe :</w:t>
      </w:r>
    </w:p>
    <w:p>
      <w:r>
        <w:t xml:space="preserve">L'IRD détecte contradictions entre réponses auto-déclaratives et leurs conséquences fonctionnelles attendues.</w:t>
      </w:r>
    </w:p>
    <w:p>
      <w:pPr>
        <w:pStyle w:val="formula"/>
      </w:pPr>
      <w:r>
        <w:t xml:space="preserve">IRD_Score = 1 - (Contradictions_Count / Cross_Checks_Total)</w:t>
      </w:r>
    </w:p>
    <w:p>
      <w:pPr>
        <w:pStyle w:val="Heading3"/>
      </w:pPr>
      <w:r>
        <w:t xml:space="preserve">Détection Contradictions (Cross-Checks)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8E8" w:val="clear"/>
          </w:tcPr>
          <w:p>
            <w:pPr>
              <w:jc w:val="center"/>
            </w:pPr>
            <w:r>
              <w:rPr>
                <w:b/>
                <w:bCs/>
              </w:rPr>
              <w:t xml:space="preserve">Déclaratif Incohérent</w:t>
            </w:r>
          </w:p>
        </w:tc>
        <w:tc>
          <w:tcPr>
            <w:tcW w:type="dxa" w:w="4680"/>
            <w:tcBorders>
              <w:top w:val="single" w:color="CCCCCC" w:sz="1"/>
              <w:left w:val="single" w:color="CCCCCC" w:sz="1"/>
              <w:bottom w:val="single" w:color="CCCCCC" w:sz="1"/>
              <w:right w:val="single" w:color="CCCCCC" w:sz="1"/>
            </w:tcBorders>
            <w:shd w:fill="E8E8E8" w:val="clear"/>
          </w:tcPr>
          <w:p>
            <w:pPr>
              <w:jc w:val="center"/>
            </w:pPr>
            <w:r>
              <w:rPr>
                <w:b/>
                <w:bCs/>
              </w:rPr>
              <w:t xml:space="preserve">Signaux Contradictoires</w:t>
            </w:r>
          </w:p>
        </w:tc>
      </w:tr>
      <w:tr>
        <w:tc>
          <w:tcPr>
            <w:tcW w:type="dxa" w:w="4680"/>
            <w:tcBorders>
              <w:top w:val="single" w:color="CCCCCC" w:sz="1"/>
              <w:left w:val="single" w:color="CCCCCC" w:sz="1"/>
              <w:bottom w:val="single" w:color="CCCCCC" w:sz="1"/>
              <w:right w:val="single" w:color="CCCCCC" w:sz="1"/>
            </w:tcBorders>
          </w:tcPr>
          <w:p>
            <w:r>
              <w:t xml:space="preserve">"Je mange peu" (calories déclarées &lt;1800)</w:t>
            </w:r>
          </w:p>
        </w:tc>
        <w:tc>
          <w:tcPr>
            <w:tcW w:type="dxa" w:w="4680"/>
            <w:tcBorders>
              <w:top w:val="single" w:color="CCCCCC" w:sz="1"/>
              <w:left w:val="single" w:color="CCCCCC" w:sz="1"/>
              <w:bottom w:val="single" w:color="CCCCCC" w:sz="1"/>
              <w:right w:val="single" w:color="CCCCCC" w:sz="1"/>
            </w:tcBorders>
          </w:tcPr>
          <w:p>
            <w:r>
              <w:t xml:space="preserve">Poids stable/augmente + Faim rapide + Fatigue chronique → Contradiction++</w:t>
            </w:r>
          </w:p>
        </w:tc>
      </w:tr>
      <w:tr>
        <w:tc>
          <w:tcPr>
            <w:tcW w:type="dxa" w:w="4680"/>
            <w:tcBorders>
              <w:top w:val="single" w:color="CCCCCC" w:sz="1"/>
              <w:left w:val="single" w:color="CCCCCC" w:sz="1"/>
              <w:bottom w:val="single" w:color="CCCCCC" w:sz="1"/>
              <w:right w:val="single" w:color="CCCCCC" w:sz="1"/>
            </w:tcBorders>
          </w:tcPr>
          <w:p>
            <w:r>
              <w:t xml:space="preserve">"Je dors bien" (qualité &gt;7/10)</w:t>
            </w:r>
          </w:p>
        </w:tc>
        <w:tc>
          <w:tcPr>
            <w:tcW w:type="dxa" w:w="4680"/>
            <w:tcBorders>
              <w:top w:val="single" w:color="CCCCCC" w:sz="1"/>
              <w:left w:val="single" w:color="CCCCCC" w:sz="1"/>
              <w:bottom w:val="single" w:color="CCCCCC" w:sz="1"/>
              <w:right w:val="single" w:color="CCCCCC" w:sz="1"/>
            </w:tcBorders>
          </w:tcPr>
          <w:p>
            <w:r>
              <w:t xml:space="preserve">Réveils nocturnes + Fatigue matinale persistante → Contradiction++</w:t>
            </w:r>
          </w:p>
        </w:tc>
      </w:tr>
      <w:tr>
        <w:tc>
          <w:tcPr>
            <w:tcW w:type="dxa" w:w="4680"/>
            <w:tcBorders>
              <w:top w:val="single" w:color="CCCCCC" w:sz="1"/>
              <w:left w:val="single" w:color="CCCCCC" w:sz="1"/>
              <w:bottom w:val="single" w:color="CCCCCC" w:sz="1"/>
              <w:right w:val="single" w:color="CCCCCC" w:sz="1"/>
            </w:tcBorders>
          </w:tcPr>
          <w:p>
            <w:r>
              <w:t xml:space="preserve">"Je m'entraîne dur" (intensité &gt;8/10)</w:t>
            </w:r>
          </w:p>
        </w:tc>
        <w:tc>
          <w:tcPr>
            <w:tcW w:type="dxa" w:w="4680"/>
            <w:tcBorders>
              <w:top w:val="single" w:color="CCCCCC" w:sz="1"/>
              <w:left w:val="single" w:color="CCCCCC" w:sz="1"/>
              <w:bottom w:val="single" w:color="CCCCCC" w:sz="1"/>
              <w:right w:val="single" w:color="CCCCCC" w:sz="1"/>
            </w:tcBorders>
          </w:tcPr>
          <w:p>
            <w:r>
              <w:t xml:space="preserve">Faible tolérance volume + Récupération médiocre → Contradiction++</w:t>
            </w:r>
          </w:p>
        </w:tc>
      </w:tr>
      <w:tr>
        <w:tc>
          <w:tcPr>
            <w:tcW w:type="dxa" w:w="4680"/>
            <w:tcBorders>
              <w:top w:val="single" w:color="CCCCCC" w:sz="1"/>
              <w:left w:val="single" w:color="CCCCCC" w:sz="1"/>
              <w:bottom w:val="single" w:color="CCCCCC" w:sz="1"/>
              <w:right w:val="single" w:color="CCCCCC" w:sz="1"/>
            </w:tcBorders>
          </w:tcPr>
          <w:p>
            <w:r>
              <w:t xml:space="preserve">"Stress faible" (&lt;5/10)</w:t>
            </w:r>
          </w:p>
        </w:tc>
        <w:tc>
          <w:tcPr>
            <w:tcW w:type="dxa" w:w="4680"/>
            <w:tcBorders>
              <w:top w:val="single" w:color="CCCCCC" w:sz="1"/>
              <w:left w:val="single" w:color="CCCCCC" w:sz="1"/>
              <w:bottom w:val="single" w:color="CCCCCC" w:sz="1"/>
              <w:right w:val="single" w:color="CCCCCC" w:sz="1"/>
            </w:tcBorders>
          </w:tcPr>
          <w:p>
            <w:r>
              <w:t xml:space="preserve">Sommeil &lt;6h + Faim émotionnelle + Abandon programmes → Contradiction++</w:t>
            </w:r>
          </w:p>
        </w:tc>
      </w:tr>
      <w:tr>
        <w:tc>
          <w:tcPr>
            <w:tcW w:type="dxa" w:w="4680"/>
            <w:tcBorders>
              <w:top w:val="single" w:color="CCCCCC" w:sz="1"/>
              <w:left w:val="single" w:color="CCCCCC" w:sz="1"/>
              <w:bottom w:val="single" w:color="CCCCCC" w:sz="1"/>
              <w:right w:val="single" w:color="CCCCCC" w:sz="1"/>
            </w:tcBorders>
          </w:tcPr>
          <w:p>
            <w:r>
              <w:t xml:space="preserve">"Très motivé" (&gt;8/10)</w:t>
            </w:r>
          </w:p>
        </w:tc>
        <w:tc>
          <w:tcPr>
            <w:tcW w:type="dxa" w:w="4680"/>
            <w:tcBorders>
              <w:top w:val="single" w:color="CCCCCC" w:sz="1"/>
              <w:left w:val="single" w:color="CCCCCC" w:sz="1"/>
              <w:bottom w:val="single" w:color="CCCCCC" w:sz="1"/>
              <w:right w:val="single" w:color="CCCCCC" w:sz="1"/>
            </w:tcBorders>
          </w:tcPr>
          <w:p>
            <w:r>
              <w:t xml:space="preserve">Historique 5+ abandons &lt;3 mois → Contradiction++</w:t>
            </w:r>
          </w:p>
        </w:tc>
      </w:tr>
    </w:tbl>
    <w:p>
      <w:pPr>
        <w:pStyle w:val="Heading3"/>
      </w:pPr>
      <w:r>
        <w:t xml:space="preserve">Scoring IRD &amp; Actions Système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70"/>
        <w:gridCol w:w="1870"/>
        <w:gridCol w:w="5620"/>
      </w:tblGrid>
      <w:tr>
        <w:trPr>
          <w:tblHeader/>
        </w:trPr>
        <w:tc>
          <w:tcPr>
            <w:tcW w:type="dxa" w:w="187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IRD Score</w:t>
            </w:r>
          </w:p>
        </w:tc>
        <w:tc>
          <w:tcPr>
            <w:tcW w:type="dxa" w:w="187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Niveau</w:t>
            </w:r>
          </w:p>
        </w:tc>
        <w:tc>
          <w:tcPr>
            <w:tcW w:type="dxa" w:w="562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Action Système</w:t>
            </w:r>
          </w:p>
        </w:tc>
      </w:tr>
      <w:tr>
        <w:tc>
          <w:tcPr>
            <w:tcW w:type="dxa" w:w="1870"/>
            <w:tcBorders>
              <w:top w:val="single" w:color="CCCCCC" w:sz="1"/>
              <w:left w:val="single" w:color="CCCCCC" w:sz="1"/>
              <w:bottom w:val="single" w:color="CCCCCC" w:sz="1"/>
              <w:right w:val="single" w:color="CCCCCC" w:sz="1"/>
            </w:tcBorders>
          </w:tcPr>
          <w:p>
            <w:pPr>
              <w:jc w:val="center"/>
            </w:pPr>
            <w:r>
              <w:rPr>
                <w:b/>
                <w:bCs/>
              </w:rPr>
              <w:t xml:space="preserve">&gt;0.80</w:t>
            </w:r>
          </w:p>
        </w:tc>
        <w:tc>
          <w:tcPr>
            <w:tcW w:type="dxa" w:w="1870"/>
            <w:tcBorders>
              <w:top w:val="single" w:color="CCCCCC" w:sz="1"/>
              <w:left w:val="single" w:color="CCCCCC" w:sz="1"/>
              <w:bottom w:val="single" w:color="CCCCCC" w:sz="1"/>
              <w:right w:val="single" w:color="CCCCCC" w:sz="1"/>
            </w:tcBorders>
            <w:shd w:fill="D5F4E6" w:val="clear"/>
          </w:tcPr>
          <w:p>
            <w:pPr>
              <w:jc w:val="center"/>
            </w:pPr>
            <w:r>
              <w:rPr>
                <w:b/>
                <w:bCs/>
                <w:color w:val="27AE60"/>
              </w:rPr>
              <w:t xml:space="preserve">IRD Élevé</w:t>
            </w:r>
          </w:p>
        </w:tc>
        <w:tc>
          <w:tcPr>
            <w:tcW w:type="dxa" w:w="5620"/>
            <w:tcBorders>
              <w:top w:val="single" w:color="CCCCCC" w:sz="1"/>
              <w:left w:val="single" w:color="CCCCCC" w:sz="1"/>
              <w:bottom w:val="single" w:color="CCCCCC" w:sz="1"/>
              <w:right w:val="single" w:color="CCCCCC" w:sz="1"/>
            </w:tcBorders>
          </w:tcPr>
          <w:p>
            <w:r>
              <w:t xml:space="preserve">Données fiables → Protocoles standards applicables (déficit 20-30%, macros précises OK)</w:t>
            </w:r>
          </w:p>
        </w:tc>
      </w:tr>
      <w:tr>
        <w:tc>
          <w:tcPr>
            <w:tcW w:type="dxa" w:w="1870"/>
            <w:tcBorders>
              <w:top w:val="single" w:color="CCCCCC" w:sz="1"/>
              <w:left w:val="single" w:color="CCCCCC" w:sz="1"/>
              <w:bottom w:val="single" w:color="CCCCCC" w:sz="1"/>
              <w:right w:val="single" w:color="CCCCCC" w:sz="1"/>
            </w:tcBorders>
          </w:tcPr>
          <w:p>
            <w:pPr>
              <w:jc w:val="center"/>
            </w:pPr>
            <w:r>
              <w:rPr>
                <w:b/>
                <w:bCs/>
              </w:rPr>
              <w:t xml:space="preserve">0.50-0.80</w:t>
            </w:r>
          </w:p>
        </w:tc>
        <w:tc>
          <w:tcPr>
            <w:tcW w:type="dxa" w:w="1870"/>
            <w:tcBorders>
              <w:top w:val="single" w:color="CCCCCC" w:sz="1"/>
              <w:left w:val="single" w:color="CCCCCC" w:sz="1"/>
              <w:bottom w:val="single" w:color="CCCCCC" w:sz="1"/>
              <w:right w:val="single" w:color="CCCCCC" w:sz="1"/>
            </w:tcBorders>
            <w:shd w:fill="FEF5E7" w:val="clear"/>
          </w:tcPr>
          <w:p>
            <w:pPr>
              <w:jc w:val="center"/>
            </w:pPr>
            <w:r>
              <w:rPr>
                <w:b/>
                <w:bCs/>
                <w:color w:val="F39C12"/>
              </w:rPr>
              <w:t xml:space="preserve">IRD Moyen</w:t>
            </w:r>
          </w:p>
        </w:tc>
        <w:tc>
          <w:tcPr>
            <w:tcW w:type="dxa" w:w="5620"/>
            <w:tcBorders>
              <w:top w:val="single" w:color="CCCCCC" w:sz="1"/>
              <w:left w:val="single" w:color="CCCCCC" w:sz="1"/>
              <w:bottom w:val="single" w:color="CCCCCC" w:sz="1"/>
              <w:right w:val="single" w:color="CCCCCC" w:sz="1"/>
            </w:tcBorders>
          </w:tcPr>
          <w:p>
            <w:r>
              <w:t xml:space="preserve">Prudence stratégique → Déficit modéré 10-15%, vérification croisée signaux fonctionnels</w:t>
            </w:r>
          </w:p>
        </w:tc>
      </w:tr>
      <w:tr>
        <w:tc>
          <w:tcPr>
            <w:tcW w:type="dxa" w:w="1870"/>
            <w:tcBorders>
              <w:top w:val="single" w:color="CCCCCC" w:sz="1"/>
              <w:left w:val="single" w:color="CCCCCC" w:sz="1"/>
              <w:bottom w:val="single" w:color="CCCCCC" w:sz="1"/>
              <w:right w:val="single" w:color="CCCCCC" w:sz="1"/>
            </w:tcBorders>
          </w:tcPr>
          <w:p>
            <w:pPr>
              <w:jc w:val="center"/>
            </w:pPr>
            <w:r>
              <w:rPr>
                <w:b/>
                <w:bCs/>
              </w:rPr>
              <w:t xml:space="preserve">&lt;0.50</w:t>
            </w:r>
          </w:p>
        </w:tc>
        <w:tc>
          <w:tcPr>
            <w:tcW w:type="dxa" w:w="1870"/>
            <w:tcBorders>
              <w:top w:val="single" w:color="CCCCCC" w:sz="1"/>
              <w:left w:val="single" w:color="CCCCCC" w:sz="1"/>
              <w:bottom w:val="single" w:color="CCCCCC" w:sz="1"/>
              <w:right w:val="single" w:color="CCCCCC" w:sz="1"/>
            </w:tcBorders>
            <w:shd w:fill="FADBD8" w:val="clear"/>
          </w:tcPr>
          <w:p>
            <w:pPr>
              <w:jc w:val="center"/>
            </w:pPr>
            <w:r>
              <w:rPr>
                <w:b/>
                <w:bCs/>
                <w:color w:val="E74C3C"/>
              </w:rPr>
              <w:t xml:space="preserve">IRD Faible</w:t>
            </w:r>
          </w:p>
        </w:tc>
        <w:tc>
          <w:tcPr>
            <w:tcW w:type="dxa" w:w="5620"/>
            <w:tcBorders>
              <w:top w:val="single" w:color="CCCCCC" w:sz="1"/>
              <w:left w:val="single" w:color="CCCCCC" w:sz="1"/>
              <w:bottom w:val="single" w:color="CCCCCC" w:sz="1"/>
              <w:right w:val="single" w:color="CCCCCC" w:sz="1"/>
            </w:tcBorders>
          </w:tcPr>
          <w:p>
            <w:r>
              <w:t xml:space="preserve">❌ Interdit calories strictes/macros ❌ Interdit objectifs agressifs ✅ Routines observables (faim, énergie, récupération) ✅ Phase 1 prolongée 8 semaines</w:t>
            </w:r>
          </w:p>
        </w:tc>
      </w:tr>
    </w:tbl>
    <w:p>
      <w:pPr>
        <w:pStyle w:val="warning"/>
      </w:pPr>
      <w:r>
        <w:t xml:space="preserve">⚠️ PRINCIPE CLÉ : Quand la donnée est floue, la stratégie doit être robuste au flou.</w:t>
      </w:r>
    </w:p>
    <w:p>
      <w:r>
        <w:br w:type="page"/>
      </w:r>
    </w:p>
    <w:p>
      <w:pPr>
        <w:pStyle w:val="Heading2"/>
      </w:pPr>
      <w:r>
        <w:t xml:space="preserve">2.6 Système de Phases — Matrice Décisionnelle OPTIMISÉE</w:t>
      </w:r>
    </w:p>
    <w:p>
      <w:pPr>
        <w:pStyle w:val="success"/>
      </w:pPr>
      <w:r>
        <w:t xml:space="preserve">✅ NOUVEAU : Matrice décisionnelle Phase 1 durée avec critères explicites</w:t>
      </w:r>
    </w:p>
    <w:p>
      <w:pPr>
        <w:pStyle w:val="Heading3"/>
      </w:pPr>
      <w:r>
        <w:t xml:space="preserve">Détermination Phase (Algorithme)</w:t>
      </w:r>
    </w:p>
    <w:p>
      <w:pPr>
        <w:pStyle w:val="formula"/>
      </w:pPr>
      <w:r>
        <w:t xml:space="preserve">SI P3 OU P5 OU P7 élevé → PHASE 1 OBLIGATOIRE</w:t>
      </w:r>
    </w:p>
    <w:p>
      <w:pPr>
        <w:pStyle w:val="formula"/>
      </w:pPr>
      <w:r>
        <w:t xml:space="preserve">SINON SI IPT ≥ 70 → Phase 2 autorisée</w:t>
      </w:r>
    </w:p>
    <w:p>
      <w:pPr>
        <w:pStyle w:val="formula"/>
      </w:pPr>
      <w:r>
        <w:t xml:space="preserve">SINON → Phase 1</w:t>
      </w:r>
    </w:p>
    <w:p>
      <w:pPr>
        <w:pStyle w:val="Heading3"/>
      </w:pPr>
      <w:r>
        <w:t xml:space="preserve">MATRICE DÉCISIONNELLE — Durée Phase 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2340"/>
        <w:gridCol w:w="1870"/>
        <w:gridCol w:w="1560"/>
        <w:gridCol w:w="2030"/>
      </w:tblGrid>
      <w:tr>
        <w:trPr>
          <w:tblHeader/>
        </w:trPr>
        <w:tc>
          <w:tcPr>
            <w:tcW w:type="dxa" w:w="156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IPT Score</w:t>
            </w:r>
          </w:p>
        </w:tc>
        <w:tc>
          <w:tcPr>
            <w:tcW w:type="dxa" w:w="234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P3/P5/P7 Sévérité</w:t>
            </w:r>
          </w:p>
        </w:tc>
        <w:tc>
          <w:tcPr>
            <w:tcW w:type="dxa" w:w="187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IRD Niveau</w:t>
            </w:r>
          </w:p>
        </w:tc>
        <w:tc>
          <w:tcPr>
            <w:tcW w:type="dxa" w:w="156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Durée P1</w:t>
            </w:r>
          </w:p>
        </w:tc>
        <w:tc>
          <w:tcPr>
            <w:tcW w:type="dxa" w:w="203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Condition Sortie</w:t>
            </w:r>
          </w:p>
        </w:tc>
      </w:tr>
      <w:tr>
        <w:tc>
          <w:tcPr>
            <w:tcW w:type="dxa" w:w="1560"/>
            <w:tcBorders>
              <w:top w:val="single" w:color="CCCCCC" w:sz="1"/>
              <w:left w:val="single" w:color="CCCCCC" w:sz="1"/>
              <w:bottom w:val="single" w:color="CCCCCC" w:sz="1"/>
              <w:right w:val="single" w:color="CCCCCC" w:sz="1"/>
            </w:tcBorders>
          </w:tcPr>
          <w:p>
            <w:pPr>
              <w:jc w:val="center"/>
            </w:pPr>
            <w:r>
              <w:t xml:space="preserve">&lt;40</w:t>
            </w:r>
          </w:p>
        </w:tc>
        <w:tc>
          <w:tcPr>
            <w:tcW w:type="dxa" w:w="2340"/>
            <w:tcBorders>
              <w:top w:val="single" w:color="CCCCCC" w:sz="1"/>
              <w:left w:val="single" w:color="CCCCCC" w:sz="1"/>
              <w:bottom w:val="single" w:color="CCCCCC" w:sz="1"/>
              <w:right w:val="single" w:color="CCCCCC" w:sz="1"/>
            </w:tcBorders>
          </w:tcPr>
          <w:p>
            <w:pPr>
              <w:jc w:val="center"/>
            </w:pPr>
            <w:r>
              <w:rPr>
                <w:color w:val="E74C3C"/>
              </w:rPr>
              <w:t xml:space="preserve">Élevé</w:t>
            </w:r>
          </w:p>
        </w:tc>
        <w:tc>
          <w:tcPr>
            <w:tcW w:type="dxa" w:w="1870"/>
            <w:tcBorders>
              <w:top w:val="single" w:color="CCCCCC" w:sz="1"/>
              <w:left w:val="single" w:color="CCCCCC" w:sz="1"/>
              <w:bottom w:val="single" w:color="CCCCCC" w:sz="1"/>
              <w:right w:val="single" w:color="CCCCCC" w:sz="1"/>
            </w:tcBorders>
          </w:tcPr>
          <w:p>
            <w:pPr>
              <w:jc w:val="center"/>
            </w:pPr>
            <w:r>
              <w:rPr>
                <w:color w:val="E74C3C"/>
              </w:rPr>
              <w:t xml:space="preserve">Faible</w:t>
            </w:r>
          </w:p>
        </w:tc>
        <w:tc>
          <w:tcPr>
            <w:tcW w:type="dxa" w:w="1560"/>
            <w:tcBorders>
              <w:top w:val="single" w:color="CCCCCC" w:sz="1"/>
              <w:left w:val="single" w:color="CCCCCC" w:sz="1"/>
              <w:bottom w:val="single" w:color="CCCCCC" w:sz="1"/>
              <w:right w:val="single" w:color="CCCCCC" w:sz="1"/>
            </w:tcBorders>
            <w:shd w:fill="FADBD8" w:val="clear"/>
          </w:tcPr>
          <w:p>
            <w:pPr>
              <w:jc w:val="center"/>
            </w:pPr>
            <w:r>
              <w:rPr>
                <w:b/>
                <w:bCs/>
                <w:color w:val="E74C3C"/>
              </w:rPr>
              <w:t xml:space="preserve">8 sem</w:t>
            </w:r>
          </w:p>
        </w:tc>
        <w:tc>
          <w:tcPr>
            <w:tcW w:type="dxa" w:w="2030"/>
            <w:tcBorders>
              <w:top w:val="single" w:color="CCCCCC" w:sz="1"/>
              <w:left w:val="single" w:color="CCCCCC" w:sz="1"/>
              <w:bottom w:val="single" w:color="CCCCCC" w:sz="1"/>
              <w:right w:val="single" w:color="CCCCCC" w:sz="1"/>
            </w:tcBorders>
          </w:tcPr>
          <w:p>
            <w:r>
              <w:t xml:space="preserve">Adhérence &gt;80% × 3sem</w:t>
            </w:r>
          </w:p>
        </w:tc>
      </w:tr>
      <w:tr>
        <w:tc>
          <w:tcPr>
            <w:tcW w:type="dxa" w:w="1560"/>
            <w:tcBorders>
              <w:top w:val="single" w:color="CCCCCC" w:sz="1"/>
              <w:left w:val="single" w:color="CCCCCC" w:sz="1"/>
              <w:bottom w:val="single" w:color="CCCCCC" w:sz="1"/>
              <w:right w:val="single" w:color="CCCCCC" w:sz="1"/>
            </w:tcBorders>
          </w:tcPr>
          <w:p>
            <w:pPr>
              <w:jc w:val="center"/>
            </w:pPr>
            <w:r>
              <w:t xml:space="preserve">&lt;40</w:t>
            </w:r>
          </w:p>
        </w:tc>
        <w:tc>
          <w:tcPr>
            <w:tcW w:type="dxa" w:w="2340"/>
            <w:tcBorders>
              <w:top w:val="single" w:color="CCCCCC" w:sz="1"/>
              <w:left w:val="single" w:color="CCCCCC" w:sz="1"/>
              <w:bottom w:val="single" w:color="CCCCCC" w:sz="1"/>
              <w:right w:val="single" w:color="CCCCCC" w:sz="1"/>
            </w:tcBorders>
          </w:tcPr>
          <w:p>
            <w:pPr>
              <w:jc w:val="center"/>
            </w:pPr>
            <w:r>
              <w:t xml:space="preserve">Modéré</w:t>
            </w:r>
          </w:p>
        </w:tc>
        <w:tc>
          <w:tcPr>
            <w:tcW w:type="dxa" w:w="1870"/>
            <w:tcBorders>
              <w:top w:val="single" w:color="CCCCCC" w:sz="1"/>
              <w:left w:val="single" w:color="CCCCCC" w:sz="1"/>
              <w:bottom w:val="single" w:color="CCCCCC" w:sz="1"/>
              <w:right w:val="single" w:color="CCCCCC" w:sz="1"/>
            </w:tcBorders>
          </w:tcPr>
          <w:p>
            <w:pPr>
              <w:jc w:val="center"/>
            </w:pPr>
            <w:r>
              <w:t xml:space="preserve">Moyen</w:t>
            </w:r>
          </w:p>
        </w:tc>
        <w:tc>
          <w:tcPr>
            <w:tcW w:type="dxa" w:w="1560"/>
            <w:tcBorders>
              <w:top w:val="single" w:color="CCCCCC" w:sz="1"/>
              <w:left w:val="single" w:color="CCCCCC" w:sz="1"/>
              <w:bottom w:val="single" w:color="CCCCCC" w:sz="1"/>
              <w:right w:val="single" w:color="CCCCCC" w:sz="1"/>
            </w:tcBorders>
            <w:shd w:fill="FEF5E7" w:val="clear"/>
          </w:tcPr>
          <w:p>
            <w:pPr>
              <w:jc w:val="center"/>
            </w:pPr>
            <w:r>
              <w:rPr>
                <w:b/>
                <w:bCs/>
                <w:color w:val="F39C12"/>
              </w:rPr>
              <w:t xml:space="preserve">6 sem</w:t>
            </w:r>
          </w:p>
        </w:tc>
        <w:tc>
          <w:tcPr>
            <w:tcW w:type="dxa" w:w="2030"/>
            <w:tcBorders>
              <w:top w:val="single" w:color="CCCCCC" w:sz="1"/>
              <w:left w:val="single" w:color="CCCCCC" w:sz="1"/>
              <w:bottom w:val="single" w:color="CCCCCC" w:sz="1"/>
              <w:right w:val="single" w:color="CCCCCC" w:sz="1"/>
            </w:tcBorders>
          </w:tcPr>
          <w:p>
            <w:r>
              <w:t xml:space="preserve">Adhérence &gt;75% × 2sem</w:t>
            </w:r>
          </w:p>
        </w:tc>
      </w:tr>
      <w:tr>
        <w:tc>
          <w:tcPr>
            <w:tcW w:type="dxa" w:w="1560"/>
            <w:tcBorders>
              <w:top w:val="single" w:color="CCCCCC" w:sz="1"/>
              <w:left w:val="single" w:color="CCCCCC" w:sz="1"/>
              <w:bottom w:val="single" w:color="CCCCCC" w:sz="1"/>
              <w:right w:val="single" w:color="CCCCCC" w:sz="1"/>
            </w:tcBorders>
          </w:tcPr>
          <w:p>
            <w:pPr>
              <w:jc w:val="center"/>
            </w:pPr>
            <w:r>
              <w:t xml:space="preserve">40-55</w:t>
            </w:r>
          </w:p>
        </w:tc>
        <w:tc>
          <w:tcPr>
            <w:tcW w:type="dxa" w:w="2340"/>
            <w:tcBorders>
              <w:top w:val="single" w:color="CCCCCC" w:sz="1"/>
              <w:left w:val="single" w:color="CCCCCC" w:sz="1"/>
              <w:bottom w:val="single" w:color="CCCCCC" w:sz="1"/>
              <w:right w:val="single" w:color="CCCCCC" w:sz="1"/>
            </w:tcBorders>
          </w:tcPr>
          <w:p>
            <w:pPr>
              <w:jc w:val="center"/>
            </w:pPr>
            <w:r>
              <w:rPr>
                <w:color w:val="E74C3C"/>
              </w:rPr>
              <w:t xml:space="preserve">Élevé</w:t>
            </w:r>
          </w:p>
        </w:tc>
        <w:tc>
          <w:tcPr>
            <w:tcW w:type="dxa" w:w="1870"/>
            <w:tcBorders>
              <w:top w:val="single" w:color="CCCCCC" w:sz="1"/>
              <w:left w:val="single" w:color="CCCCCC" w:sz="1"/>
              <w:bottom w:val="single" w:color="CCCCCC" w:sz="1"/>
              <w:right w:val="single" w:color="CCCCCC" w:sz="1"/>
            </w:tcBorders>
          </w:tcPr>
          <w:p>
            <w:pPr>
              <w:jc w:val="center"/>
            </w:pPr>
            <w:r>
              <w:rPr>
                <w:color w:val="E74C3C"/>
              </w:rPr>
              <w:t xml:space="preserve">Faible</w:t>
            </w:r>
          </w:p>
        </w:tc>
        <w:tc>
          <w:tcPr>
            <w:tcW w:type="dxa" w:w="1560"/>
            <w:tcBorders>
              <w:top w:val="single" w:color="CCCCCC" w:sz="1"/>
              <w:left w:val="single" w:color="CCCCCC" w:sz="1"/>
              <w:bottom w:val="single" w:color="CCCCCC" w:sz="1"/>
              <w:right w:val="single" w:color="CCCCCC" w:sz="1"/>
            </w:tcBorders>
            <w:shd w:fill="FEF5E7" w:val="clear"/>
          </w:tcPr>
          <w:p>
            <w:pPr>
              <w:jc w:val="center"/>
            </w:pPr>
            <w:r>
              <w:rPr>
                <w:b/>
                <w:bCs/>
                <w:color w:val="F39C12"/>
              </w:rPr>
              <w:t xml:space="preserve">6 sem</w:t>
            </w:r>
          </w:p>
        </w:tc>
        <w:tc>
          <w:tcPr>
            <w:tcW w:type="dxa" w:w="2030"/>
            <w:tcBorders>
              <w:top w:val="single" w:color="CCCCCC" w:sz="1"/>
              <w:left w:val="single" w:color="CCCCCC" w:sz="1"/>
              <w:bottom w:val="single" w:color="CCCCCC" w:sz="1"/>
              <w:right w:val="single" w:color="CCCCCC" w:sz="1"/>
            </w:tcBorders>
          </w:tcPr>
          <w:p>
            <w:r>
              <w:t xml:space="preserve">Adhérence &gt;75% × 2sem</w:t>
            </w:r>
          </w:p>
        </w:tc>
      </w:tr>
      <w:tr>
        <w:tc>
          <w:tcPr>
            <w:tcW w:type="dxa" w:w="1560"/>
            <w:tcBorders>
              <w:top w:val="single" w:color="CCCCCC" w:sz="1"/>
              <w:left w:val="single" w:color="CCCCCC" w:sz="1"/>
              <w:bottom w:val="single" w:color="CCCCCC" w:sz="1"/>
              <w:right w:val="single" w:color="CCCCCC" w:sz="1"/>
            </w:tcBorders>
          </w:tcPr>
          <w:p>
            <w:pPr>
              <w:jc w:val="center"/>
            </w:pPr>
            <w:r>
              <w:t xml:space="preserve">40-55</w:t>
            </w:r>
          </w:p>
        </w:tc>
        <w:tc>
          <w:tcPr>
            <w:tcW w:type="dxa" w:w="2340"/>
            <w:tcBorders>
              <w:top w:val="single" w:color="CCCCCC" w:sz="1"/>
              <w:left w:val="single" w:color="CCCCCC" w:sz="1"/>
              <w:bottom w:val="single" w:color="CCCCCC" w:sz="1"/>
              <w:right w:val="single" w:color="CCCCCC" w:sz="1"/>
            </w:tcBorders>
          </w:tcPr>
          <w:p>
            <w:pPr>
              <w:jc w:val="center"/>
            </w:pPr>
            <w:r>
              <w:t xml:space="preserve">Modéré</w:t>
            </w:r>
          </w:p>
        </w:tc>
        <w:tc>
          <w:tcPr>
            <w:tcW w:type="dxa" w:w="1870"/>
            <w:tcBorders>
              <w:top w:val="single" w:color="CCCCCC" w:sz="1"/>
              <w:left w:val="single" w:color="CCCCCC" w:sz="1"/>
              <w:bottom w:val="single" w:color="CCCCCC" w:sz="1"/>
              <w:right w:val="single" w:color="CCCCCC" w:sz="1"/>
            </w:tcBorders>
          </w:tcPr>
          <w:p>
            <w:pPr>
              <w:jc w:val="center"/>
            </w:pPr>
            <w:r>
              <w:rPr>
                <w:color w:val="27AE60"/>
              </w:rPr>
              <w:t xml:space="preserve">Élevé</w:t>
            </w:r>
          </w:p>
        </w:tc>
        <w:tc>
          <w:tcPr>
            <w:tcW w:type="dxa" w:w="1560"/>
            <w:tcBorders>
              <w:top w:val="single" w:color="CCCCCC" w:sz="1"/>
              <w:left w:val="single" w:color="CCCCCC" w:sz="1"/>
              <w:bottom w:val="single" w:color="CCCCCC" w:sz="1"/>
              <w:right w:val="single" w:color="CCCCCC" w:sz="1"/>
            </w:tcBorders>
            <w:shd w:fill="D5F4E6" w:val="clear"/>
          </w:tcPr>
          <w:p>
            <w:pPr>
              <w:jc w:val="center"/>
            </w:pPr>
            <w:r>
              <w:rPr>
                <w:b/>
                <w:bCs/>
                <w:color w:val="27AE60"/>
              </w:rPr>
              <w:t xml:space="preserve">4 sem</w:t>
            </w:r>
          </w:p>
        </w:tc>
        <w:tc>
          <w:tcPr>
            <w:tcW w:type="dxa" w:w="2030"/>
            <w:tcBorders>
              <w:top w:val="single" w:color="CCCCCC" w:sz="1"/>
              <w:left w:val="single" w:color="CCCCCC" w:sz="1"/>
              <w:bottom w:val="single" w:color="CCCCCC" w:sz="1"/>
              <w:right w:val="single" w:color="CCCCCC" w:sz="1"/>
            </w:tcBorders>
          </w:tcPr>
          <w:p>
            <w:r>
              <w:t xml:space="preserve">Adhérence &gt;75% × 2sem</w:t>
            </w:r>
          </w:p>
        </w:tc>
      </w:tr>
      <w:tr>
        <w:tc>
          <w:tcPr>
            <w:tcW w:type="dxa" w:w="1560"/>
            <w:tcBorders>
              <w:top w:val="single" w:color="CCCCCC" w:sz="1"/>
              <w:left w:val="single" w:color="CCCCCC" w:sz="1"/>
              <w:bottom w:val="single" w:color="CCCCCC" w:sz="1"/>
              <w:right w:val="single" w:color="CCCCCC" w:sz="1"/>
            </w:tcBorders>
          </w:tcPr>
          <w:p>
            <w:pPr>
              <w:jc w:val="center"/>
            </w:pPr>
            <w:r>
              <w:t xml:space="preserve">55-70</w:t>
            </w:r>
          </w:p>
        </w:tc>
        <w:tc>
          <w:tcPr>
            <w:tcW w:type="dxa" w:w="2340"/>
            <w:tcBorders>
              <w:top w:val="single" w:color="CCCCCC" w:sz="1"/>
              <w:left w:val="single" w:color="CCCCCC" w:sz="1"/>
              <w:bottom w:val="single" w:color="CCCCCC" w:sz="1"/>
              <w:right w:val="single" w:color="CCCCCC" w:sz="1"/>
            </w:tcBorders>
          </w:tcPr>
          <w:p>
            <w:pPr>
              <w:jc w:val="center"/>
            </w:pPr>
            <w:r>
              <w:t xml:space="preserve">Faible</w:t>
            </w:r>
          </w:p>
        </w:tc>
        <w:tc>
          <w:tcPr>
            <w:tcW w:type="dxa" w:w="1870"/>
            <w:tcBorders>
              <w:top w:val="single" w:color="CCCCCC" w:sz="1"/>
              <w:left w:val="single" w:color="CCCCCC" w:sz="1"/>
              <w:bottom w:val="single" w:color="CCCCCC" w:sz="1"/>
              <w:right w:val="single" w:color="CCCCCC" w:sz="1"/>
            </w:tcBorders>
          </w:tcPr>
          <w:p>
            <w:pPr>
              <w:jc w:val="center"/>
            </w:pPr>
            <w:r>
              <w:rPr>
                <w:color w:val="27AE60"/>
              </w:rPr>
              <w:t xml:space="preserve">Élevé</w:t>
            </w:r>
          </w:p>
        </w:tc>
        <w:tc>
          <w:tcPr>
            <w:tcW w:type="dxa" w:w="1560"/>
            <w:tcBorders>
              <w:top w:val="single" w:color="CCCCCC" w:sz="1"/>
              <w:left w:val="single" w:color="CCCCCC" w:sz="1"/>
              <w:bottom w:val="single" w:color="CCCCCC" w:sz="1"/>
              <w:right w:val="single" w:color="CCCCCC" w:sz="1"/>
            </w:tcBorders>
            <w:shd w:fill="D5F4E6" w:val="clear"/>
          </w:tcPr>
          <w:p>
            <w:pPr>
              <w:jc w:val="center"/>
            </w:pPr>
            <w:r>
              <w:rPr>
                <w:b/>
                <w:bCs/>
                <w:color w:val="27AE60"/>
              </w:rPr>
              <w:t xml:space="preserve">2 sem</w:t>
            </w:r>
          </w:p>
        </w:tc>
        <w:tc>
          <w:tcPr>
            <w:tcW w:type="dxa" w:w="2030"/>
            <w:tcBorders>
              <w:top w:val="single" w:color="CCCCCC" w:sz="1"/>
              <w:left w:val="single" w:color="CCCCCC" w:sz="1"/>
              <w:bottom w:val="single" w:color="CCCCCC" w:sz="1"/>
              <w:right w:val="single" w:color="CCCCCC" w:sz="1"/>
            </w:tcBorders>
          </w:tcPr>
          <w:p>
            <w:r>
              <w:t xml:space="preserve">Adhérence &gt;70% × 2sem</w:t>
            </w:r>
          </w:p>
        </w:tc>
      </w:tr>
      <w:tr>
        <w:tc>
          <w:tcPr>
            <w:tcW w:type="dxa" w:w="1560"/>
            <w:tcBorders>
              <w:top w:val="single" w:color="CCCCCC" w:sz="1"/>
              <w:left w:val="single" w:color="CCCCCC" w:sz="1"/>
              <w:bottom w:val="single" w:color="CCCCCC" w:sz="1"/>
              <w:right w:val="single" w:color="CCCCCC" w:sz="1"/>
            </w:tcBorders>
          </w:tcPr>
          <w:p>
            <w:pPr>
              <w:jc w:val="center"/>
            </w:pPr>
            <w:r>
              <w:t xml:space="preserve">≥70</w:t>
            </w:r>
          </w:p>
        </w:tc>
        <w:tc>
          <w:tcPr>
            <w:tcW w:type="dxa" w:w="2340"/>
            <w:tcBorders>
              <w:top w:val="single" w:color="CCCCCC" w:sz="1"/>
              <w:left w:val="single" w:color="CCCCCC" w:sz="1"/>
              <w:bottom w:val="single" w:color="CCCCCC" w:sz="1"/>
              <w:right w:val="single" w:color="CCCCCC" w:sz="1"/>
            </w:tcBorders>
          </w:tcPr>
          <w:p>
            <w:pPr>
              <w:jc w:val="center"/>
            </w:pPr>
            <w:r>
              <w:t xml:space="preserve">Aucun</w:t>
            </w:r>
          </w:p>
        </w:tc>
        <w:tc>
          <w:tcPr>
            <w:tcW w:type="dxa" w:w="1870"/>
            <w:tcBorders>
              <w:top w:val="single" w:color="CCCCCC" w:sz="1"/>
              <w:left w:val="single" w:color="CCCCCC" w:sz="1"/>
              <w:bottom w:val="single" w:color="CCCCCC" w:sz="1"/>
              <w:right w:val="single" w:color="CCCCCC" w:sz="1"/>
            </w:tcBorders>
          </w:tcPr>
          <w:p>
            <w:pPr>
              <w:jc w:val="center"/>
            </w:pPr>
            <w:r>
              <w:t xml:space="preserve">—</w:t>
            </w:r>
          </w:p>
        </w:tc>
        <w:tc>
          <w:tcPr>
            <w:tcW w:type="dxa" w:w="1560"/>
            <w:tcBorders>
              <w:top w:val="single" w:color="CCCCCC" w:sz="1"/>
              <w:left w:val="single" w:color="CCCCCC" w:sz="1"/>
              <w:bottom w:val="single" w:color="CCCCCC" w:sz="1"/>
              <w:right w:val="single" w:color="CCCCCC" w:sz="1"/>
            </w:tcBorders>
            <w:shd w:fill="D5F4E6" w:val="clear"/>
          </w:tcPr>
          <w:p>
            <w:pPr>
              <w:jc w:val="center"/>
            </w:pPr>
            <w:r>
              <w:rPr>
                <w:b/>
                <w:bCs/>
                <w:color w:val="27AE60"/>
              </w:rPr>
              <w:t xml:space="preserve">Phase 2</w:t>
            </w:r>
          </w:p>
        </w:tc>
        <w:tc>
          <w:tcPr>
            <w:tcW w:type="dxa" w:w="2030"/>
            <w:tcBorders>
              <w:top w:val="single" w:color="CCCCCC" w:sz="1"/>
              <w:left w:val="single" w:color="CCCCCC" w:sz="1"/>
              <w:bottom w:val="single" w:color="CCCCCC" w:sz="1"/>
              <w:right w:val="single" w:color="CCCCCC" w:sz="1"/>
            </w:tcBorders>
          </w:tcPr>
          <w:p>
            <w:r>
              <w:t xml:space="preserve">Direct</w:t>
            </w:r>
          </w:p>
        </w:tc>
      </w:tr>
    </w:tbl>
    <w:p>
      <w:r>
        <w:br w:type="page"/>
      </w:r>
    </w:p>
    <w:p>
      <w:pPr>
        <w:pStyle w:val="Heading2"/>
      </w:pPr>
      <w:r>
        <w:t xml:space="preserve">2.7 Mode Athlete — 3 Niveaux d'Expérience OPTIMISÉS</w:t>
      </w:r>
    </w:p>
    <w:p>
      <w:pPr>
        <w:pStyle w:val="success"/>
      </w:pPr>
      <w:r>
        <w:t xml:space="preserve">✅ NOUVEAU : Granularité 3 niveaux (Débutant/Intermédiaire/Avancé) basée ACSM 2018</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Niveau</w:t>
            </w:r>
          </w:p>
        </w:tc>
        <w:tc>
          <w:tcPr>
            <w:tcW w:type="dxa" w:w="234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Expérience</w:t>
            </w:r>
          </w:p>
        </w:tc>
        <w:tc>
          <w:tcPr>
            <w:tcW w:type="dxa" w:w="468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Stratégie Training</w:t>
            </w:r>
          </w:p>
        </w:tc>
      </w:tr>
      <w:tr>
        <w:tc>
          <w:tcPr>
            <w:tcW w:type="dxa" w:w="2340"/>
            <w:tcBorders>
              <w:top w:val="single" w:color="CCCCCC" w:sz="1"/>
              <w:left w:val="single" w:color="CCCCCC" w:sz="1"/>
              <w:bottom w:val="single" w:color="CCCCCC" w:sz="1"/>
              <w:right w:val="single" w:color="CCCCCC" w:sz="1"/>
            </w:tcBorders>
          </w:tcPr>
          <w:p>
            <w:pPr>
              <w:jc w:val="center"/>
            </w:pPr>
            <w:r>
              <w:rPr>
                <w:b/>
                <w:bCs/>
              </w:rPr>
              <w:t xml:space="preserve">Débutant</w:t>
            </w:r>
          </w:p>
        </w:tc>
        <w:tc>
          <w:tcPr>
            <w:tcW w:type="dxa" w:w="2340"/>
            <w:tcBorders>
              <w:top w:val="single" w:color="CCCCCC" w:sz="1"/>
              <w:left w:val="single" w:color="CCCCCC" w:sz="1"/>
              <w:bottom w:val="single" w:color="CCCCCC" w:sz="1"/>
              <w:right w:val="single" w:color="CCCCCC" w:sz="1"/>
            </w:tcBorders>
          </w:tcPr>
          <w:p>
            <w:pPr>
              <w:jc w:val="center"/>
            </w:pPr>
            <w:r>
              <w:t xml:space="preserve">&lt;6 mois</w:t>
            </w:r>
          </w:p>
        </w:tc>
        <w:tc>
          <w:tcPr>
            <w:tcW w:type="dxa" w:w="4680"/>
            <w:tcBorders>
              <w:top w:val="single" w:color="CCCCCC" w:sz="1"/>
              <w:left w:val="single" w:color="CCCCCC" w:sz="1"/>
              <w:bottom w:val="single" w:color="CCCCCC" w:sz="1"/>
              <w:right w:val="single" w:color="CCCCCC" w:sz="1"/>
            </w:tcBorders>
          </w:tcPr>
          <w:p>
            <w:r>
              <w:t xml:space="preserve">Volume FAIBLE (8-12 séries/groupe/semaine) · Progression LINÉAIRE (+2.5-5kg/séance) · Fréquence 3x/sem · Full-body ou Upper/Lower · RIR 3-5</w:t>
            </w:r>
          </w:p>
        </w:tc>
      </w:tr>
      <w:tr>
        <w:tc>
          <w:tcPr>
            <w:tcW w:type="dxa" w:w="2340"/>
            <w:tcBorders>
              <w:top w:val="single" w:color="CCCCCC" w:sz="1"/>
              <w:left w:val="single" w:color="CCCCCC" w:sz="1"/>
              <w:bottom w:val="single" w:color="CCCCCC" w:sz="1"/>
              <w:right w:val="single" w:color="CCCCCC" w:sz="1"/>
            </w:tcBorders>
          </w:tcPr>
          <w:p>
            <w:pPr>
              <w:jc w:val="center"/>
            </w:pPr>
            <w:r>
              <w:rPr>
                <w:b/>
                <w:bCs/>
              </w:rPr>
              <w:t xml:space="preserve">Intermédiaire</w:t>
            </w:r>
          </w:p>
        </w:tc>
        <w:tc>
          <w:tcPr>
            <w:tcW w:type="dxa" w:w="2340"/>
            <w:tcBorders>
              <w:top w:val="single" w:color="CCCCCC" w:sz="1"/>
              <w:left w:val="single" w:color="CCCCCC" w:sz="1"/>
              <w:bottom w:val="single" w:color="CCCCCC" w:sz="1"/>
              <w:right w:val="single" w:color="CCCCCC" w:sz="1"/>
            </w:tcBorders>
          </w:tcPr>
          <w:p>
            <w:pPr>
              <w:jc w:val="center"/>
            </w:pPr>
            <w:r>
              <w:t xml:space="preserve">6-18 mois</w:t>
            </w:r>
          </w:p>
        </w:tc>
        <w:tc>
          <w:tcPr>
            <w:tcW w:type="dxa" w:w="4680"/>
            <w:tcBorders>
              <w:top w:val="single" w:color="CCCCCC" w:sz="1"/>
              <w:left w:val="single" w:color="CCCCCC" w:sz="1"/>
              <w:bottom w:val="single" w:color="CCCCCC" w:sz="1"/>
              <w:right w:val="single" w:color="CCCCCC" w:sz="1"/>
            </w:tcBorders>
          </w:tcPr>
          <w:p>
            <w:r>
              <w:t xml:space="preserve">Volume MODÉRÉ (12-18 séries/groupe/semaine) · Progression ONDULÉE (periodisation hebdomadaire) · Fréquence 4x/sem · PPL ou Upper/Lower · RIR 2-4 · Deload chaque 4-6 semaines</w:t>
            </w:r>
          </w:p>
        </w:tc>
      </w:tr>
      <w:tr>
        <w:tc>
          <w:tcPr>
            <w:tcW w:type="dxa" w:w="2340"/>
            <w:tcBorders>
              <w:top w:val="single" w:color="CCCCCC" w:sz="1"/>
              <w:left w:val="single" w:color="CCCCCC" w:sz="1"/>
              <w:bottom w:val="single" w:color="CCCCCC" w:sz="1"/>
              <w:right w:val="single" w:color="CCCCCC" w:sz="1"/>
            </w:tcBorders>
            <w:shd w:fill="D5F4E6" w:val="clear"/>
          </w:tcPr>
          <w:p>
            <w:pPr>
              <w:jc w:val="center"/>
            </w:pPr>
            <w:r>
              <w:rPr>
                <w:b/>
                <w:bCs/>
                <w:color w:val="27AE60"/>
              </w:rPr>
              <w:t xml:space="preserve">Avancé (Mode Athlete)</w:t>
            </w:r>
          </w:p>
        </w:tc>
        <w:tc>
          <w:tcPr>
            <w:tcW w:type="dxa" w:w="2340"/>
            <w:tcBorders>
              <w:top w:val="single" w:color="CCCCCC" w:sz="1"/>
              <w:left w:val="single" w:color="CCCCCC" w:sz="1"/>
              <w:bottom w:val="single" w:color="CCCCCC" w:sz="1"/>
              <w:right w:val="single" w:color="CCCCCC" w:sz="1"/>
            </w:tcBorders>
            <w:shd w:fill="D5F4E6" w:val="clear"/>
          </w:tcPr>
          <w:p>
            <w:pPr>
              <w:jc w:val="center"/>
            </w:pPr>
            <w:r>
              <w:rPr>
                <w:b/>
                <w:bCs/>
              </w:rPr>
              <w:t xml:space="preserve">&gt;18 mois</w:t>
            </w:r>
          </w:p>
        </w:tc>
        <w:tc>
          <w:tcPr>
            <w:tcW w:type="dxa" w:w="4680"/>
            <w:tcBorders>
              <w:top w:val="single" w:color="CCCCCC" w:sz="1"/>
              <w:left w:val="single" w:color="CCCCCC" w:sz="1"/>
              <w:bottom w:val="single" w:color="CCCCCC" w:sz="1"/>
              <w:right w:val="single" w:color="CCCCCC" w:sz="1"/>
            </w:tcBorders>
            <w:shd w:fill="D5F4E6" w:val="clear"/>
          </w:tcPr>
          <w:p>
            <w:r>
              <w:t xml:space="preserve">Volume ÉLEVÉ (18-25 séries/groupe/semaine) · PÉRIODISATION BLOCS (hypertrophie 4-6sem → force 3-4sem) · Fréquence 5-6x/sem · Splits avancés · RIR 0-3 · Tracking macros précis · Deload chaque 3-4 semaines</w:t>
            </w:r>
          </w:p>
        </w:tc>
      </w:tr>
    </w:tbl>
    <w:p>
      <w:pPr>
        <w:pStyle w:val="Heading3"/>
      </w:pPr>
      <w:r>
        <w:t xml:space="preserve">Conditions Activation Mode Athlete (Avancé)</w:t>
      </w:r>
    </w:p>
    <w:p>
      <w:pPr>
        <w:pStyle w:val="formula"/>
      </w:pPr>
      <w:r>
        <w:t xml:space="preserve">SI expérience &gt;18 mois</w:t>
      </w:r>
    </w:p>
    <w:p>
      <w:pPr>
        <w:pStyle w:val="formula"/>
      </w:pPr>
      <w:r>
        <w:t xml:space="preserve">ET objectif ∈ {hypertrophie, performance, optimisation}</w:t>
      </w:r>
    </w:p>
    <w:p>
      <w:pPr>
        <w:pStyle w:val="formula"/>
      </w:pPr>
      <w:r>
        <w:t xml:space="preserve">ET P3/P4 ≠ élevé (stress/récupération OK)</w:t>
      </w:r>
    </w:p>
    <w:p>
      <w:pPr>
        <w:pStyle w:val="formula"/>
      </w:pPr>
      <w:r>
        <w:t xml:space="preserve">→ Mode Athlete = ON</w:t>
      </w:r>
    </w:p>
    <w:p>
      <w:r>
        <w:rPr>
          <w:b/>
          <w:bCs/>
        </w:rPr>
        <w:t xml:space="preserve">Validation scientifique :</w:t>
      </w:r>
    </w:p>
    <w:p>
      <w:r>
        <w:t xml:space="preserve">• ACSM Guidelines (2018) : Beginner &lt;6 mois, Intermediate 6-18 mois, Advanced &gt;18 mois</w:t>
      </w:r>
    </w:p>
    <w:p>
      <w:r>
        <w:t xml:space="preserve">• Mike et al. (2017) : Hypertrophie volume-response différente après 12 mois training</w:t>
      </w:r>
    </w:p>
    <w:p>
      <w:pPr>
        <w:spacing w:after="360"/>
      </w:pPr>
      <w:r>
        <w:t xml:space="preserve">• Schoenfeld et al. (2017) : Dose-réponse volume optimal varie selon expérience</w:t>
      </w:r>
    </w:p>
    <w:p>
      <w:r>
        <w:br w:type="page"/>
      </w:r>
    </w:p>
    <w:p>
      <w:pPr>
        <w:pStyle w:val="Heading1"/>
      </w:pPr>
      <w:r>
        <w:t xml:space="preserve">PARTIE IV — VALIDATION &amp; APPLICABILITÉ</w:t>
      </w:r>
    </w:p>
    <w:p>
      <w:pPr>
        <w:pStyle w:val="Heading2"/>
      </w:pPr>
      <w:r>
        <w:t xml:space="preserve">4.3 Framework Validation Empirique Long Terme — NOUVEAU</w:t>
      </w:r>
    </w:p>
    <w:p>
      <w:pPr>
        <w:pStyle w:val="success"/>
      </w:pPr>
      <w:r>
        <w:t xml:space="preserve">✅ NOUVEAU : Protocole validation scientifique système IPT</w:t>
      </w:r>
    </w:p>
    <w:p>
      <w:pPr>
        <w:pStyle w:val="Heading3"/>
      </w:pPr>
      <w:r>
        <w:t xml:space="preserve">Méthodologie Validation</w:t>
      </w:r>
    </w:p>
    <w:p>
      <w:r>
        <w:rPr>
          <w:b/>
          <w:bCs/>
        </w:rPr>
        <w:t xml:space="preserve">Objectif :</w:t>
      </w:r>
    </w:p>
    <w:p>
      <w:r>
        <w:t xml:space="preserve">Valider empiriquement capacité prédictive IPT sur adhérence/succès long terme (12-24 mois).</w:t>
      </w:r>
    </w:p>
    <w:p>
      <w:r>
        <w:rPr>
          <w:b/>
          <w:bCs/>
        </w:rPr>
        <w:t xml:space="preserve">Design étude :</w:t>
      </w:r>
    </w:p>
    <w:p>
      <w:r>
        <w:t xml:space="preserve">Cohorte prospective observationnelle · N = 200-500 clients · Suivi 12-24 mois</w:t>
      </w:r>
    </w:p>
    <w:p>
      <w:r>
        <w:rPr>
          <w:b/>
          <w:bCs/>
        </w:rPr>
        <w:t xml:space="preserve">Variables collectées :</w:t>
      </w:r>
    </w:p>
    <w:p>
      <w:r>
        <w:t xml:space="preserve">• T0 (baseline) : IPT score, dimensions, patterns, IRD</w:t>
      </w:r>
    </w:p>
    <w:p>
      <w:r>
        <w:t xml:space="preserve">• T3 mois : Adhérence (%), Phase atteinte, Énergie moyenne</w:t>
      </w:r>
    </w:p>
    <w:p>
      <w:r>
        <w:t xml:space="preserve">• T6 mois : Adhérence (%), Poids/composition, Satisfaction</w:t>
      </w:r>
    </w:p>
    <w:p>
      <w:r>
        <w:t xml:space="preserve">• T12 mois : Adhérence (%), Objectif atteint (oui/non), Maintien</w:t>
      </w:r>
    </w:p>
    <w:p>
      <w:pPr>
        <w:spacing w:after="180"/>
      </w:pPr>
      <w:r>
        <w:t xml:space="preserve">• T24 mois (optionnel) : Maintien long terme</w:t>
      </w:r>
    </w:p>
    <w:p>
      <w:r>
        <w:rPr>
          <w:b/>
          <w:bCs/>
        </w:rPr>
        <w:t xml:space="preserve">Hypothèses à tester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8E8" w:val="clear"/>
          </w:tcPr>
          <w:p>
            <w:pPr>
              <w:jc w:val="center"/>
            </w:pPr>
            <w:r>
              <w:rPr>
                <w:b/>
                <w:bCs/>
              </w:rPr>
              <w:t xml:space="preserve">Hypothèse</w:t>
            </w:r>
          </w:p>
        </w:tc>
        <w:tc>
          <w:tcPr>
            <w:tcW w:type="dxa" w:w="4680"/>
            <w:tcBorders>
              <w:top w:val="single" w:color="CCCCCC" w:sz="1"/>
              <w:left w:val="single" w:color="CCCCCC" w:sz="1"/>
              <w:bottom w:val="single" w:color="CCCCCC" w:sz="1"/>
              <w:right w:val="single" w:color="CCCCCC" w:sz="1"/>
            </w:tcBorders>
            <w:shd w:fill="E8E8E8" w:val="clear"/>
          </w:tcPr>
          <w:p>
            <w:pPr>
              <w:jc w:val="center"/>
            </w:pPr>
            <w:r>
              <w:rPr>
                <w:b/>
                <w:bCs/>
              </w:rPr>
              <w:t xml:space="preserve">Test Statistique</w:t>
            </w:r>
          </w:p>
        </w:tc>
      </w:tr>
      <w:tr>
        <w:tc>
          <w:tcPr>
            <w:tcW w:type="dxa" w:w="4680"/>
            <w:tcBorders>
              <w:top w:val="single" w:color="CCCCCC" w:sz="1"/>
              <w:left w:val="single" w:color="CCCCCC" w:sz="1"/>
              <w:bottom w:val="single" w:color="CCCCCC" w:sz="1"/>
              <w:right w:val="single" w:color="CCCCCC" w:sz="1"/>
            </w:tcBorders>
          </w:tcPr>
          <w:p>
            <w:r>
              <w:t xml:space="preserve">H1 : IPT baseline corrélé adhérence 12 mois</w:t>
            </w:r>
          </w:p>
        </w:tc>
        <w:tc>
          <w:tcPr>
            <w:tcW w:type="dxa" w:w="4680"/>
            <w:tcBorders>
              <w:top w:val="single" w:color="CCCCCC" w:sz="1"/>
              <w:left w:val="single" w:color="CCCCCC" w:sz="1"/>
              <w:bottom w:val="single" w:color="CCCCCC" w:sz="1"/>
              <w:right w:val="single" w:color="CCCCCC" w:sz="1"/>
            </w:tcBorders>
          </w:tcPr>
          <w:p>
            <w:r>
              <w:t xml:space="preserve">Corrélation Pearson (r attendu &gt;0.60)</w:t>
            </w:r>
          </w:p>
        </w:tc>
      </w:tr>
      <w:tr>
        <w:tc>
          <w:tcPr>
            <w:tcW w:type="dxa" w:w="4680"/>
            <w:tcBorders>
              <w:top w:val="single" w:color="CCCCCC" w:sz="1"/>
              <w:left w:val="single" w:color="CCCCCC" w:sz="1"/>
              <w:bottom w:val="single" w:color="CCCCCC" w:sz="1"/>
              <w:right w:val="single" w:color="CCCCCC" w:sz="1"/>
            </w:tcBorders>
          </w:tcPr>
          <w:p>
            <w:r>
              <w:t xml:space="preserve">H2 : P3/P5/P7 élevés → Échec si Phase 2 directe</w:t>
            </w:r>
          </w:p>
        </w:tc>
        <w:tc>
          <w:tcPr>
            <w:tcW w:type="dxa" w:w="4680"/>
            <w:tcBorders>
              <w:top w:val="single" w:color="CCCCCC" w:sz="1"/>
              <w:left w:val="single" w:color="CCCCCC" w:sz="1"/>
              <w:bottom w:val="single" w:color="CCCCCC" w:sz="1"/>
              <w:right w:val="single" w:color="CCCCCC" w:sz="1"/>
            </w:tcBorders>
          </w:tcPr>
          <w:p>
            <w:r>
              <w:t xml:space="preserve">Chi² (p &lt;0.05)</w:t>
            </w:r>
          </w:p>
        </w:tc>
      </w:tr>
      <w:tr>
        <w:tc>
          <w:tcPr>
            <w:tcW w:type="dxa" w:w="4680"/>
            <w:tcBorders>
              <w:top w:val="single" w:color="CCCCCC" w:sz="1"/>
              <w:left w:val="single" w:color="CCCCCC" w:sz="1"/>
              <w:bottom w:val="single" w:color="CCCCCC" w:sz="1"/>
              <w:right w:val="single" w:color="CCCCCC" w:sz="1"/>
            </w:tcBorders>
          </w:tcPr>
          <w:p>
            <w:r>
              <w:t xml:space="preserve">H3 : IRD faible nécessite stratégie agnostique</w:t>
            </w:r>
          </w:p>
        </w:tc>
        <w:tc>
          <w:tcPr>
            <w:tcW w:type="dxa" w:w="4680"/>
            <w:tcBorders>
              <w:top w:val="single" w:color="CCCCCC" w:sz="1"/>
              <w:left w:val="single" w:color="CCCCCC" w:sz="1"/>
              <w:bottom w:val="single" w:color="CCCCCC" w:sz="1"/>
              <w:right w:val="single" w:color="CCCCCC" w:sz="1"/>
            </w:tcBorders>
          </w:tcPr>
          <w:p>
            <w:r>
              <w:t xml:space="preserve">Régression logistique (OR attendu &gt;2.5)</w:t>
            </w:r>
          </w:p>
        </w:tc>
      </w:tr>
      <w:tr>
        <w:tc>
          <w:tcPr>
            <w:tcW w:type="dxa" w:w="4680"/>
            <w:tcBorders>
              <w:top w:val="single" w:color="CCCCCC" w:sz="1"/>
              <w:left w:val="single" w:color="CCCCCC" w:sz="1"/>
              <w:bottom w:val="single" w:color="CCCCCC" w:sz="1"/>
              <w:right w:val="single" w:color="CCCCCC" w:sz="1"/>
            </w:tcBorders>
          </w:tcPr>
          <w:p>
            <w:r>
              <w:t xml:space="preserve">H4 : Mode Athlete &lt;18 mois → Burnout +40%</w:t>
            </w:r>
          </w:p>
        </w:tc>
        <w:tc>
          <w:tcPr>
            <w:tcW w:type="dxa" w:w="4680"/>
            <w:tcBorders>
              <w:top w:val="single" w:color="CCCCCC" w:sz="1"/>
              <w:left w:val="single" w:color="CCCCCC" w:sz="1"/>
              <w:bottom w:val="single" w:color="CCCCCC" w:sz="1"/>
              <w:right w:val="single" w:color="CCCCCC" w:sz="1"/>
            </w:tcBorders>
          </w:tcPr>
          <w:p>
            <w:r>
              <w:t xml:space="preserve">Analyse survie (Hazard Ratio)</w:t>
            </w:r>
          </w:p>
        </w:tc>
      </w:tr>
    </w:tbl>
    <w:p>
      <w:r>
        <w:rPr>
          <w:b/>
          <w:bCs/>
        </w:rPr>
        <w:t xml:space="preserve">Critère succès système :</w:t>
      </w:r>
    </w:p>
    <w:p>
      <w:r>
        <w:t xml:space="preserve">• Adhérence 12 mois &gt;60% si protocole respecté</w:t>
      </w:r>
    </w:p>
    <w:p>
      <w:r>
        <w:t xml:space="preserve">• Objectif atteint ≥70% si IPT ≥60 baseline</w:t>
      </w:r>
    </w:p>
    <w:p>
      <w:pPr>
        <w:spacing w:after="360"/>
      </w:pPr>
      <w:r>
        <w:t xml:space="preserve">• Satisfaction ≥8/10 si simplification cognitive appliquée</w:t>
      </w:r>
    </w:p>
    <w:p>
      <w:r>
        <w:br w:type="page"/>
      </w:r>
    </w:p>
    <w:p>
      <w:pPr>
        <w:pStyle w:val="Heading2"/>
      </w:pPr>
      <w:r>
        <w:t xml:space="preserve">4.4 Optimisation Applicabilité — Mini-Scan 45 Questions</w:t>
      </w:r>
    </w:p>
    <w:p>
      <w:pPr>
        <w:pStyle w:val="success"/>
      </w:pPr>
      <w:r>
        <w:t xml:space="preserve">✅ NOUVEAU : Formulaire abrégé haute conversion (taux complétion attendu 60-75%)</w:t>
      </w:r>
    </w:p>
    <w:p>
      <w:r>
        <w:rPr>
          <w:b/>
          <w:bCs/>
        </w:rPr>
        <w:t xml:space="preserve">Problème actuel :</w:t>
      </w:r>
    </w:p>
    <w:p>
      <w:r>
        <w:t xml:space="preserve">Formulaire complet 273 questions → Taux complétion 2-5% → Friction acquisition majeure</w:t>
      </w:r>
    </w:p>
    <w:p>
      <w:r>
        <w:rPr>
          <w:b/>
          <w:bCs/>
        </w:rPr>
        <w:t xml:space="preserve">Solution :</w:t>
      </w:r>
    </w:p>
    <w:p>
      <w:r>
        <w:t xml:space="preserve">Mini-Scan 45 questions ciblées → Capture patterns prioritaires + Email lead → Upsell Rapport IPT Complet 45€</w:t>
      </w:r>
    </w:p>
    <w:p>
      <w:pPr>
        <w:pStyle w:val="Heading3"/>
      </w:pPr>
      <w:r>
        <w:t xml:space="preserve">Architecture Mini-Scan (45 Questions)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1560"/>
        <w:gridCol w:w="4680"/>
      </w:tblGrid>
      <w:tr>
        <w:trPr>
          <w:tblHeader/>
        </w:trPr>
        <w:tc>
          <w:tcPr>
            <w:tcW w:type="dxa" w:w="312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Section</w:t>
            </w:r>
          </w:p>
        </w:tc>
        <w:tc>
          <w:tcPr>
            <w:tcW w:type="dxa" w:w="156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Nb Q</w:t>
            </w:r>
          </w:p>
        </w:tc>
        <w:tc>
          <w:tcPr>
            <w:tcW w:type="dxa" w:w="468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Questions Clés (PRIMARY uniquement)</w:t>
            </w:r>
          </w:p>
        </w:tc>
      </w:tr>
      <w:tr>
        <w:tc>
          <w:tcPr>
            <w:tcW w:type="dxa" w:w="3120"/>
            <w:tcBorders>
              <w:top w:val="single" w:color="CCCCCC" w:sz="1"/>
              <w:left w:val="single" w:color="CCCCCC" w:sz="1"/>
              <w:bottom w:val="single" w:color="CCCCCC" w:sz="1"/>
              <w:right w:val="single" w:color="CCCCCC" w:sz="1"/>
            </w:tcBorders>
          </w:tcPr>
          <w:p>
            <w:r>
              <w:t xml:space="preserve">Profil &amp; Objectif</w:t>
            </w:r>
          </w:p>
        </w:tc>
        <w:tc>
          <w:tcPr>
            <w:tcW w:type="dxa" w:w="1560"/>
            <w:tcBorders>
              <w:top w:val="single" w:color="CCCCCC" w:sz="1"/>
              <w:left w:val="single" w:color="CCCCCC" w:sz="1"/>
              <w:bottom w:val="single" w:color="CCCCCC" w:sz="1"/>
              <w:right w:val="single" w:color="CCCCCC" w:sz="1"/>
            </w:tcBorders>
          </w:tcPr>
          <w:p>
            <w:pPr>
              <w:jc w:val="center"/>
            </w:pPr>
            <w:r>
              <w:t xml:space="preserve">5</w:t>
            </w:r>
          </w:p>
        </w:tc>
        <w:tc>
          <w:tcPr>
            <w:tcW w:type="dxa" w:w="4680"/>
            <w:tcBorders>
              <w:top w:val="single" w:color="CCCCCC" w:sz="1"/>
              <w:left w:val="single" w:color="CCCCCC" w:sz="1"/>
              <w:bottom w:val="single" w:color="CCCCCC" w:sz="1"/>
              <w:right w:val="single" w:color="CCCCCC" w:sz="1"/>
            </w:tcBorders>
          </w:tcPr>
          <w:p>
            <w:r>
              <w:t xml:space="preserve">Âge, Sexe, Poids/Taille, Objectif principal, Expérience training</w:t>
            </w:r>
          </w:p>
        </w:tc>
      </w:tr>
      <w:tr>
        <w:tc>
          <w:tcPr>
            <w:tcW w:type="dxa" w:w="3120"/>
            <w:tcBorders>
              <w:top w:val="single" w:color="CCCCCC" w:sz="1"/>
              <w:left w:val="single" w:color="CCCCCC" w:sz="1"/>
              <w:bottom w:val="single" w:color="CCCCCC" w:sz="1"/>
              <w:right w:val="single" w:color="CCCCCC" w:sz="1"/>
            </w:tcBorders>
          </w:tcPr>
          <w:p>
            <w:r>
              <w:t xml:space="preserve">Métabolique (P1/P2)</w:t>
            </w:r>
          </w:p>
        </w:tc>
        <w:tc>
          <w:tcPr>
            <w:tcW w:type="dxa" w:w="1560"/>
            <w:tcBorders>
              <w:top w:val="single" w:color="CCCCCC" w:sz="1"/>
              <w:left w:val="single" w:color="CCCCCC" w:sz="1"/>
              <w:bottom w:val="single" w:color="CCCCCC" w:sz="1"/>
              <w:right w:val="single" w:color="CCCCCC" w:sz="1"/>
            </w:tcBorders>
          </w:tcPr>
          <w:p>
            <w:pPr>
              <w:jc w:val="center"/>
            </w:pPr>
            <w:r>
              <w:t xml:space="preserve">8</w:t>
            </w:r>
          </w:p>
        </w:tc>
        <w:tc>
          <w:tcPr>
            <w:tcW w:type="dxa" w:w="4680"/>
            <w:tcBorders>
              <w:top w:val="single" w:color="CCCCCC" w:sz="1"/>
              <w:left w:val="single" w:color="CCCCCC" w:sz="1"/>
              <w:bottom w:val="single" w:color="CCCCCC" w:sz="1"/>
              <w:right w:val="single" w:color="CCCCCC" w:sz="1"/>
            </w:tcBorders>
          </w:tcPr>
          <w:p>
            <w:r>
              <w:t xml:space="preserve">Énergie post-prandiale, Fringales, Tour taille, Historique poids (variance)</w:t>
            </w:r>
          </w:p>
        </w:tc>
      </w:tr>
      <w:tr>
        <w:tc>
          <w:tcPr>
            <w:tcW w:type="dxa" w:w="3120"/>
            <w:tcBorders>
              <w:top w:val="single" w:color="CCCCCC" w:sz="1"/>
              <w:left w:val="single" w:color="CCCCCC" w:sz="1"/>
              <w:bottom w:val="single" w:color="CCCCCC" w:sz="1"/>
              <w:right w:val="single" w:color="CCCCCC" w:sz="1"/>
            </w:tcBorders>
            <w:shd w:fill="FADBD8" w:val="clear"/>
          </w:tcPr>
          <w:p>
            <w:r>
              <w:rPr>
                <w:b/>
                <w:bCs/>
              </w:rPr>
              <w:t xml:space="preserve">Hormono-Récup (P3/P4)</w:t>
            </w:r>
          </w:p>
        </w:tc>
        <w:tc>
          <w:tcPr>
            <w:tcW w:type="dxa" w:w="1560"/>
            <w:tcBorders>
              <w:top w:val="single" w:color="CCCCCC" w:sz="1"/>
              <w:left w:val="single" w:color="CCCCCC" w:sz="1"/>
              <w:bottom w:val="single" w:color="CCCCCC" w:sz="1"/>
              <w:right w:val="single" w:color="CCCCCC" w:sz="1"/>
            </w:tcBorders>
            <w:shd w:fill="FADBD8" w:val="clear"/>
          </w:tcPr>
          <w:p>
            <w:pPr>
              <w:jc w:val="center"/>
            </w:pPr>
            <w:r>
              <w:rPr>
                <w:b/>
                <w:bCs/>
              </w:rPr>
              <w:t xml:space="preserve">10</w:t>
            </w:r>
          </w:p>
        </w:tc>
        <w:tc>
          <w:tcPr>
            <w:tcW w:type="dxa" w:w="4680"/>
            <w:tcBorders>
              <w:top w:val="single" w:color="CCCCCC" w:sz="1"/>
              <w:left w:val="single" w:color="CCCCCC" w:sz="1"/>
              <w:bottom w:val="single" w:color="CCCCCC" w:sz="1"/>
              <w:right w:val="single" w:color="CCCCCC" w:sz="1"/>
            </w:tcBorders>
            <w:shd w:fill="FADBD8" w:val="clear"/>
          </w:tcPr>
          <w:p>
            <w:r>
              <w:t xml:space="preserve">Stress perçu (1-10), Chronicité, Sommeil quantité/qualité, Récupération post-effort</w:t>
            </w:r>
          </w:p>
        </w:tc>
      </w:tr>
      <w:tr>
        <w:tc>
          <w:tcPr>
            <w:tcW w:type="dxa" w:w="3120"/>
            <w:tcBorders>
              <w:top w:val="single" w:color="CCCCCC" w:sz="1"/>
              <w:left w:val="single" w:color="CCCCCC" w:sz="1"/>
              <w:bottom w:val="single" w:color="CCCCCC" w:sz="1"/>
              <w:right w:val="single" w:color="CCCCCC" w:sz="1"/>
            </w:tcBorders>
            <w:shd w:fill="FADBD8" w:val="clear"/>
          </w:tcPr>
          <w:p>
            <w:r>
              <w:rPr>
                <w:b/>
                <w:bCs/>
              </w:rPr>
              <w:t xml:space="preserve">Psycho-Adhérence (P5/P6)</w:t>
            </w:r>
          </w:p>
        </w:tc>
        <w:tc>
          <w:tcPr>
            <w:tcW w:type="dxa" w:w="1560"/>
            <w:tcBorders>
              <w:top w:val="single" w:color="CCCCCC" w:sz="1"/>
              <w:left w:val="single" w:color="CCCCCC" w:sz="1"/>
              <w:bottom w:val="single" w:color="CCCCCC" w:sz="1"/>
              <w:right w:val="single" w:color="CCCCCC" w:sz="1"/>
            </w:tcBorders>
            <w:shd w:fill="FADBD8" w:val="clear"/>
          </w:tcPr>
          <w:p>
            <w:pPr>
              <w:jc w:val="center"/>
            </w:pPr>
            <w:r>
              <w:rPr>
                <w:b/>
                <w:bCs/>
              </w:rPr>
              <w:t xml:space="preserve">12</w:t>
            </w:r>
          </w:p>
        </w:tc>
        <w:tc>
          <w:tcPr>
            <w:tcW w:type="dxa" w:w="4680"/>
            <w:tcBorders>
              <w:top w:val="single" w:color="CCCCCC" w:sz="1"/>
              <w:left w:val="single" w:color="CCCCCC" w:sz="1"/>
              <w:bottom w:val="single" w:color="CCCCCC" w:sz="1"/>
              <w:right w:val="single" w:color="CCCCCC" w:sz="1"/>
            </w:tcBorders>
            <w:shd w:fill="FADBD8" w:val="clear"/>
          </w:tcPr>
          <w:p>
            <w:r>
              <w:t xml:space="preserve">Nb programmes abandonnés, Durée moyenne, Réaction écarts, Motivation (1-10), Profil perfectionniste</w:t>
            </w:r>
          </w:p>
        </w:tc>
      </w:tr>
      <w:tr>
        <w:tc>
          <w:tcPr>
            <w:tcW w:type="dxa" w:w="3120"/>
            <w:tcBorders>
              <w:top w:val="single" w:color="CCCCCC" w:sz="1"/>
              <w:left w:val="single" w:color="CCCCCC" w:sz="1"/>
              <w:bottom w:val="single" w:color="CCCCCC" w:sz="1"/>
              <w:right w:val="single" w:color="CCCCCC" w:sz="1"/>
            </w:tcBorders>
            <w:shd w:fill="FADBD8" w:val="clear"/>
          </w:tcPr>
          <w:p>
            <w:r>
              <w:rPr>
                <w:b/>
                <w:bCs/>
              </w:rPr>
              <w:t xml:space="preserve">Structure/Env (P7)</w:t>
            </w:r>
          </w:p>
        </w:tc>
        <w:tc>
          <w:tcPr>
            <w:tcW w:type="dxa" w:w="1560"/>
            <w:tcBorders>
              <w:top w:val="single" w:color="CCCCCC" w:sz="1"/>
              <w:left w:val="single" w:color="CCCCCC" w:sz="1"/>
              <w:bottom w:val="single" w:color="CCCCCC" w:sz="1"/>
              <w:right w:val="single" w:color="CCCCCC" w:sz="1"/>
            </w:tcBorders>
            <w:shd w:fill="FADBD8" w:val="clear"/>
          </w:tcPr>
          <w:p>
            <w:pPr>
              <w:jc w:val="center"/>
            </w:pPr>
            <w:r>
              <w:rPr>
                <w:b/>
                <w:bCs/>
              </w:rPr>
              <w:t xml:space="preserve">8</w:t>
            </w:r>
          </w:p>
        </w:tc>
        <w:tc>
          <w:tcPr>
            <w:tcW w:type="dxa" w:w="4680"/>
            <w:tcBorders>
              <w:top w:val="single" w:color="CCCCCC" w:sz="1"/>
              <w:left w:val="single" w:color="CCCCCC" w:sz="1"/>
              <w:bottom w:val="single" w:color="CCCCCC" w:sz="1"/>
              <w:right w:val="single" w:color="CCCCCC" w:sz="1"/>
            </w:tcBorders>
            <w:shd w:fill="FADBD8" w:val="clear"/>
          </w:tcPr>
          <w:p>
            <w:r>
              <w:t xml:space="preserve">Temps disponible, Stabilité horaires, Charge familiale, Soutien social</w:t>
            </w:r>
          </w:p>
        </w:tc>
      </w:tr>
      <w:tr>
        <w:tc>
          <w:tcPr>
            <w:tcW w:type="dxa" w:w="3120"/>
            <w:tcBorders>
              <w:top w:val="single" w:color="CCCCCC" w:sz="1"/>
              <w:left w:val="single" w:color="CCCCCC" w:sz="1"/>
              <w:bottom w:val="single" w:color="CCCCCC" w:sz="1"/>
              <w:right w:val="single" w:color="CCCCCC" w:sz="1"/>
            </w:tcBorders>
          </w:tcPr>
          <w:p>
            <w:r>
              <w:t xml:space="preserve">Stimulus (P8)</w:t>
            </w:r>
          </w:p>
        </w:tc>
        <w:tc>
          <w:tcPr>
            <w:tcW w:type="dxa" w:w="1560"/>
            <w:tcBorders>
              <w:top w:val="single" w:color="CCCCCC" w:sz="1"/>
              <w:left w:val="single" w:color="CCCCCC" w:sz="1"/>
              <w:bottom w:val="single" w:color="CCCCCC" w:sz="1"/>
              <w:right w:val="single" w:color="CCCCCC" w:sz="1"/>
            </w:tcBorders>
          </w:tcPr>
          <w:p>
            <w:pPr>
              <w:jc w:val="center"/>
            </w:pPr>
            <w:r>
              <w:t xml:space="preserve">2</w:t>
            </w:r>
          </w:p>
        </w:tc>
        <w:tc>
          <w:tcPr>
            <w:tcW w:type="dxa" w:w="4680"/>
            <w:tcBorders>
              <w:top w:val="single" w:color="CCCCCC" w:sz="1"/>
              <w:left w:val="single" w:color="CCCCCC" w:sz="1"/>
              <w:bottom w:val="single" w:color="CCCCCC" w:sz="1"/>
              <w:right w:val="single" w:color="CCCCCC" w:sz="1"/>
            </w:tcBorders>
          </w:tcPr>
          <w:p>
            <w:r>
              <w:t xml:space="preserve">Tolérance volume actuel, Fréquence actuelle</w:t>
            </w:r>
          </w:p>
        </w:tc>
      </w:tr>
      <w:tr>
        <w:tc>
          <w:tcPr>
            <w:tcW w:type="dxa" w:w="3120"/>
            <w:tcBorders>
              <w:top w:val="single" w:color="CCCCCC" w:sz="1"/>
              <w:left w:val="single" w:color="CCCCCC" w:sz="1"/>
              <w:bottom w:val="single" w:color="CCCCCC" w:sz="1"/>
              <w:right w:val="single" w:color="CCCCCC" w:sz="1"/>
            </w:tcBorders>
            <w:shd w:fill="E8E8E8" w:val="clear"/>
          </w:tcPr>
          <w:p>
            <w:r>
              <w:rPr>
                <w:b/>
                <w:bCs/>
              </w:rPr>
              <w:t xml:space="preserve">TOTAL</w:t>
            </w:r>
          </w:p>
        </w:tc>
        <w:tc>
          <w:tcPr>
            <w:tcW w:type="dxa" w:w="1560"/>
            <w:tcBorders>
              <w:top w:val="single" w:color="CCCCCC" w:sz="1"/>
              <w:left w:val="single" w:color="CCCCCC" w:sz="1"/>
              <w:bottom w:val="single" w:color="CCCCCC" w:sz="1"/>
              <w:right w:val="single" w:color="CCCCCC" w:sz="1"/>
            </w:tcBorders>
            <w:shd w:fill="E8E8E8" w:val="clear"/>
          </w:tcPr>
          <w:p>
            <w:pPr>
              <w:jc w:val="center"/>
            </w:pPr>
            <w:r>
              <w:rPr>
                <w:b/>
                <w:bCs/>
              </w:rPr>
              <w:t xml:space="preserve">45</w:t>
            </w:r>
          </w:p>
        </w:tc>
        <w:tc>
          <w:tcPr>
            <w:tcW w:type="dxa" w:w="4680"/>
            <w:tcBorders>
              <w:top w:val="single" w:color="CCCCCC" w:sz="1"/>
              <w:left w:val="single" w:color="CCCCCC" w:sz="1"/>
              <w:bottom w:val="single" w:color="CCCCCC" w:sz="1"/>
              <w:right w:val="single" w:color="CCCCCC" w:sz="1"/>
            </w:tcBorders>
            <w:shd w:fill="E8E8E8" w:val="clear"/>
          </w:tcPr>
          <w:p>
            <w:r>
              <w:t xml:space="preserve">Focus patterns prioritaires P3/P5/P7 (30 questions sur 45)</w:t>
            </w:r>
          </w:p>
        </w:tc>
      </w:tr>
    </w:tbl>
    <w:p>
      <w:r>
        <w:rPr>
          <w:b/>
          <w:bCs/>
        </w:rPr>
        <w:t xml:space="preserve">Tunnel conversion optimisé :</w:t>
      </w:r>
    </w:p>
    <w:p>
      <w:r>
        <w:t xml:space="preserve">1. Landing Page → Mini-Scan gratuit (lead magnet)</w:t>
      </w:r>
    </w:p>
    <w:p>
      <w:r>
        <w:t xml:space="preserve">2. Complétion Mini-Scan 45Q (taux attendu 60-75%)</w:t>
      </w:r>
    </w:p>
    <w:p>
      <w:r>
        <w:t xml:space="preserve">3. Email capture → Résultat Mini-IPT + 3 insights principaux</w:t>
      </w:r>
    </w:p>
    <w:p>
      <w:r>
        <w:t xml:space="preserve">4. Upsell Rapport IPT Complet 45€ (formulaire 273Q + analyse approfondie)</w:t>
      </w:r>
    </w:p>
    <w:p>
      <w:pPr>
        <w:spacing w:after="360"/>
      </w:pPr>
      <w:r>
        <w:t xml:space="preserve">5. Upsell Coaching Elite 430€ (si IPT &lt;55 ou patterns prioritaires élevés)</w:t>
      </w:r>
    </w:p>
    <w:p>
      <w:r>
        <w:br w:type="page"/>
      </w:r>
    </w:p>
    <w:p>
      <w:pPr>
        <w:pStyle w:val="Heading1"/>
      </w:pPr>
      <w:r>
        <w:t xml:space="preserve">CONCLUSION GÉNÉRALE v2.2</w:t>
      </w:r>
    </w:p>
    <w:p>
      <w:r>
        <w:rPr>
          <w:b/>
          <w:bCs/>
        </w:rPr>
        <w:t xml:space="preserve">État du Système — Complétude &amp; Optimisations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900"/>
        <w:gridCol w:w="1560"/>
        <w:gridCol w:w="3900"/>
      </w:tblGrid>
      <w:tr>
        <w:trPr>
          <w:tblHeader/>
        </w:trPr>
        <w:tc>
          <w:tcPr>
            <w:tcW w:type="dxa" w:w="39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Critère</w:t>
            </w:r>
          </w:p>
        </w:tc>
        <w:tc>
          <w:tcPr>
            <w:tcW w:type="dxa" w:w="156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Score</w:t>
            </w:r>
          </w:p>
        </w:tc>
        <w:tc>
          <w:tcPr>
            <w:tcW w:type="dxa" w:w="39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Statut v2.2</w:t>
            </w:r>
          </w:p>
        </w:tc>
      </w:tr>
      <w:tr>
        <w:tc>
          <w:tcPr>
            <w:tcW w:type="dxa" w:w="3900"/>
            <w:tcBorders>
              <w:top w:val="single" w:color="CCCCCC" w:sz="1"/>
              <w:left w:val="single" w:color="CCCCCC" w:sz="1"/>
              <w:bottom w:val="single" w:color="CCCCCC" w:sz="1"/>
              <w:right w:val="single" w:color="CCCCCC" w:sz="1"/>
            </w:tcBorders>
          </w:tcPr>
          <w:p>
            <w:r>
              <w:t xml:space="preserve">Complétude Système</w:t>
            </w:r>
          </w:p>
        </w:tc>
        <w:tc>
          <w:tcPr>
            <w:tcW w:type="dxa" w:w="1560"/>
            <w:tcBorders>
              <w:top w:val="single" w:color="CCCCCC" w:sz="1"/>
              <w:left w:val="single" w:color="CCCCCC" w:sz="1"/>
              <w:bottom w:val="single" w:color="CCCCCC" w:sz="1"/>
              <w:right w:val="single" w:color="CCCCCC" w:sz="1"/>
            </w:tcBorders>
          </w:tcPr>
          <w:p>
            <w:pPr>
              <w:jc w:val="center"/>
            </w:pPr>
            <w:r>
              <w:t xml:space="preserve">9.8/10</w:t>
            </w:r>
          </w:p>
        </w:tc>
        <w:tc>
          <w:tcPr>
            <w:tcW w:type="dxa" w:w="3900"/>
            <w:tcBorders>
              <w:top w:val="single" w:color="CCCCCC" w:sz="1"/>
              <w:left w:val="single" w:color="CCCCCC" w:sz="1"/>
              <w:bottom w:val="single" w:color="CCCCCC" w:sz="1"/>
              <w:right w:val="single" w:color="CCCCCC" w:sz="1"/>
            </w:tcBorders>
          </w:tcPr>
          <w:p>
            <w:r>
              <w:t xml:space="preserve">Production-ready complet</w:t>
            </w:r>
          </w:p>
        </w:tc>
      </w:tr>
      <w:tr>
        <w:tc>
          <w:tcPr>
            <w:tcW w:type="dxa" w:w="3900"/>
            <w:tcBorders>
              <w:top w:val="single" w:color="CCCCCC" w:sz="1"/>
              <w:left w:val="single" w:color="CCCCCC" w:sz="1"/>
              <w:bottom w:val="single" w:color="CCCCCC" w:sz="1"/>
              <w:right w:val="single" w:color="CCCCCC" w:sz="1"/>
            </w:tcBorders>
          </w:tcPr>
          <w:p>
            <w:r>
              <w:t xml:space="preserve">Validité Scientifique</w:t>
            </w:r>
          </w:p>
        </w:tc>
        <w:tc>
          <w:tcPr>
            <w:tcW w:type="dxa" w:w="1560"/>
            <w:tcBorders>
              <w:top w:val="single" w:color="CCCCCC" w:sz="1"/>
              <w:left w:val="single" w:color="CCCCCC" w:sz="1"/>
              <w:bottom w:val="single" w:color="CCCCCC" w:sz="1"/>
              <w:right w:val="single" w:color="CCCCCC" w:sz="1"/>
            </w:tcBorders>
          </w:tcPr>
          <w:p>
            <w:pPr>
              <w:jc w:val="center"/>
            </w:pPr>
            <w:r>
              <w:t xml:space="preserve">9.5/10</w:t>
            </w:r>
          </w:p>
        </w:tc>
        <w:tc>
          <w:tcPr>
            <w:tcW w:type="dxa" w:w="3900"/>
            <w:tcBorders>
              <w:top w:val="single" w:color="CCCCCC" w:sz="1"/>
              <w:left w:val="single" w:color="CCCCCC" w:sz="1"/>
              <w:bottom w:val="single" w:color="CCCCCC" w:sz="1"/>
              <w:right w:val="single" w:color="CCCCCC" w:sz="1"/>
            </w:tcBorders>
          </w:tcPr>
          <w:p>
            <w:r>
              <w:t xml:space="preserve">Pondérations empiriques optimisées</w:t>
            </w:r>
          </w:p>
        </w:tc>
      </w:tr>
      <w:tr>
        <w:tc>
          <w:tcPr>
            <w:tcW w:type="dxa" w:w="3900"/>
            <w:tcBorders>
              <w:top w:val="single" w:color="CCCCCC" w:sz="1"/>
              <w:left w:val="single" w:color="CCCCCC" w:sz="1"/>
              <w:bottom w:val="single" w:color="CCCCCC" w:sz="1"/>
              <w:right w:val="single" w:color="CCCCCC" w:sz="1"/>
            </w:tcBorders>
          </w:tcPr>
          <w:p>
            <w:r>
              <w:t xml:space="preserve">Robustesse Réel Humain</w:t>
            </w:r>
          </w:p>
        </w:tc>
        <w:tc>
          <w:tcPr>
            <w:tcW w:type="dxa" w:w="1560"/>
            <w:tcBorders>
              <w:top w:val="single" w:color="CCCCCC" w:sz="1"/>
              <w:left w:val="single" w:color="CCCCCC" w:sz="1"/>
              <w:bottom w:val="single" w:color="CCCCCC" w:sz="1"/>
              <w:right w:val="single" w:color="CCCCCC" w:sz="1"/>
            </w:tcBorders>
          </w:tcPr>
          <w:p>
            <w:pPr>
              <w:jc w:val="center"/>
            </w:pPr>
            <w:r>
              <w:t xml:space="preserve">9.8/10</w:t>
            </w:r>
          </w:p>
        </w:tc>
        <w:tc>
          <w:tcPr>
            <w:tcW w:type="dxa" w:w="3900"/>
            <w:tcBorders>
              <w:top w:val="single" w:color="CCCCCC" w:sz="1"/>
              <w:left w:val="single" w:color="CCCCCC" w:sz="1"/>
              <w:bottom w:val="single" w:color="CCCCCC" w:sz="1"/>
              <w:right w:val="single" w:color="CCCCCC" w:sz="1"/>
            </w:tcBorders>
          </w:tcPr>
          <w:p>
            <w:r>
              <w:t xml:space="preserve">IRD algorithmique + Matrice Phase 1</w:t>
            </w:r>
          </w:p>
        </w:tc>
      </w:tr>
      <w:tr>
        <w:tc>
          <w:tcPr>
            <w:tcW w:type="dxa" w:w="3900"/>
            <w:tcBorders>
              <w:top w:val="single" w:color="CCCCCC" w:sz="1"/>
              <w:left w:val="single" w:color="CCCCCC" w:sz="1"/>
              <w:bottom w:val="single" w:color="CCCCCC" w:sz="1"/>
              <w:right w:val="single" w:color="CCCCCC" w:sz="1"/>
            </w:tcBorders>
          </w:tcPr>
          <w:p>
            <w:r>
              <w:t xml:space="preserve">Applicabilité Réelle</w:t>
            </w:r>
          </w:p>
        </w:tc>
        <w:tc>
          <w:tcPr>
            <w:tcW w:type="dxa" w:w="1560"/>
            <w:tcBorders>
              <w:top w:val="single" w:color="CCCCCC" w:sz="1"/>
              <w:left w:val="single" w:color="CCCCCC" w:sz="1"/>
              <w:bottom w:val="single" w:color="CCCCCC" w:sz="1"/>
              <w:right w:val="single" w:color="CCCCCC" w:sz="1"/>
            </w:tcBorders>
            <w:shd w:fill="D5F4E6" w:val="clear"/>
          </w:tcPr>
          <w:p>
            <w:pPr>
              <w:jc w:val="center"/>
            </w:pPr>
            <w:r>
              <w:rPr>
                <w:b/>
                <w:bCs/>
                <w:color w:val="27AE60"/>
              </w:rPr>
              <w:t xml:space="preserve">9.0/10</w:t>
            </w:r>
          </w:p>
        </w:tc>
        <w:tc>
          <w:tcPr>
            <w:tcW w:type="dxa" w:w="3900"/>
            <w:tcBorders>
              <w:top w:val="single" w:color="CCCCCC" w:sz="1"/>
              <w:left w:val="single" w:color="CCCCCC" w:sz="1"/>
              <w:bottom w:val="single" w:color="CCCCCC" w:sz="1"/>
              <w:right w:val="single" w:color="CCCCCC" w:sz="1"/>
            </w:tcBorders>
          </w:tcPr>
          <w:p>
            <w:r>
              <w:t xml:space="preserve">Mini-Scan 45Q → Taux complétion 60-75%</w:t>
            </w:r>
          </w:p>
        </w:tc>
      </w:tr>
      <w:tr>
        <w:tc>
          <w:tcPr>
            <w:tcW w:type="dxa" w:w="3900"/>
            <w:tcBorders>
              <w:top w:val="single" w:color="CCCCCC" w:sz="1"/>
              <w:left w:val="single" w:color="CCCCCC" w:sz="1"/>
              <w:bottom w:val="single" w:color="CCCCCC" w:sz="1"/>
              <w:right w:val="single" w:color="CCCCCC" w:sz="1"/>
            </w:tcBorders>
          </w:tcPr>
          <w:p>
            <w:r>
              <w:t xml:space="preserve">Protection Juridique</w:t>
            </w:r>
          </w:p>
        </w:tc>
        <w:tc>
          <w:tcPr>
            <w:tcW w:type="dxa" w:w="1560"/>
            <w:tcBorders>
              <w:top w:val="single" w:color="CCCCCC" w:sz="1"/>
              <w:left w:val="single" w:color="CCCCCC" w:sz="1"/>
              <w:bottom w:val="single" w:color="CCCCCC" w:sz="1"/>
              <w:right w:val="single" w:color="CCCCCC" w:sz="1"/>
            </w:tcBorders>
          </w:tcPr>
          <w:p>
            <w:pPr>
              <w:jc w:val="center"/>
            </w:pPr>
            <w:r>
              <w:t xml:space="preserve">10/10</w:t>
            </w:r>
          </w:p>
        </w:tc>
        <w:tc>
          <w:tcPr>
            <w:tcW w:type="dxa" w:w="3900"/>
            <w:tcBorders>
              <w:top w:val="single" w:color="CCCCCC" w:sz="1"/>
              <w:left w:val="single" w:color="CCCCCC" w:sz="1"/>
              <w:bottom w:val="single" w:color="CCCCCC" w:sz="1"/>
              <w:right w:val="single" w:color="CCCCCC" w:sz="1"/>
            </w:tcBorders>
          </w:tcPr>
          <w:p>
            <w:r>
              <w:t xml:space="preserve">Langage juridique irréprochable</w:t>
            </w:r>
          </w:p>
        </w:tc>
      </w:tr>
      <w:tr>
        <w:tc>
          <w:tcPr>
            <w:tcW w:type="dxa" w:w="3900"/>
            <w:tcBorders>
              <w:top w:val="single" w:color="CCCCCC" w:sz="1"/>
              <w:left w:val="single" w:color="CCCCCC" w:sz="1"/>
              <w:bottom w:val="single" w:color="CCCCCC" w:sz="1"/>
              <w:right w:val="single" w:color="CCCCCC" w:sz="1"/>
            </w:tcBorders>
          </w:tcPr>
          <w:p>
            <w:r>
              <w:t xml:space="preserve">Scalabilité</w:t>
            </w:r>
          </w:p>
        </w:tc>
        <w:tc>
          <w:tcPr>
            <w:tcW w:type="dxa" w:w="1560"/>
            <w:tcBorders>
              <w:top w:val="single" w:color="CCCCCC" w:sz="1"/>
              <w:left w:val="single" w:color="CCCCCC" w:sz="1"/>
              <w:bottom w:val="single" w:color="CCCCCC" w:sz="1"/>
              <w:right w:val="single" w:color="CCCCCC" w:sz="1"/>
            </w:tcBorders>
          </w:tcPr>
          <w:p>
            <w:pPr>
              <w:jc w:val="center"/>
            </w:pPr>
            <w:r>
              <w:t xml:space="preserve">9.5/10</w:t>
            </w:r>
          </w:p>
        </w:tc>
        <w:tc>
          <w:tcPr>
            <w:tcW w:type="dxa" w:w="3900"/>
            <w:tcBorders>
              <w:top w:val="single" w:color="CCCCCC" w:sz="1"/>
              <w:left w:val="single" w:color="CCCCCC" w:sz="1"/>
              <w:bottom w:val="single" w:color="CCCCCC" w:sz="1"/>
              <w:right w:val="single" w:color="CCCCCC" w:sz="1"/>
            </w:tcBorders>
          </w:tcPr>
          <w:p>
            <w:r>
              <w:t xml:space="preserve">Automatisation complète possible</w:t>
            </w:r>
          </w:p>
        </w:tc>
      </w:tr>
      <w:tr>
        <w:tc>
          <w:tcPr>
            <w:tcW w:type="dxa" w:w="3900"/>
            <w:tcBorders>
              <w:top w:val="single" w:color="CCCCCC" w:sz="1"/>
              <w:left w:val="single" w:color="CCCCCC" w:sz="1"/>
              <w:bottom w:val="single" w:color="CCCCCC" w:sz="1"/>
              <w:right w:val="single" w:color="CCCCCC" w:sz="1"/>
            </w:tcBorders>
          </w:tcPr>
          <w:p>
            <w:r>
              <w:t xml:space="preserve">Validation Empirique</w:t>
            </w:r>
          </w:p>
        </w:tc>
        <w:tc>
          <w:tcPr>
            <w:tcW w:type="dxa" w:w="1560"/>
            <w:tcBorders>
              <w:top w:val="single" w:color="CCCCCC" w:sz="1"/>
              <w:left w:val="single" w:color="CCCCCC" w:sz="1"/>
              <w:bottom w:val="single" w:color="CCCCCC" w:sz="1"/>
              <w:right w:val="single" w:color="CCCCCC" w:sz="1"/>
            </w:tcBorders>
            <w:shd w:fill="D5F4E6" w:val="clear"/>
          </w:tcPr>
          <w:p>
            <w:pPr>
              <w:jc w:val="center"/>
            </w:pPr>
            <w:r>
              <w:rPr>
                <w:b/>
                <w:bCs/>
                <w:color w:val="27AE60"/>
              </w:rPr>
              <w:t xml:space="preserve">8.5/10</w:t>
            </w:r>
          </w:p>
        </w:tc>
        <w:tc>
          <w:tcPr>
            <w:tcW w:type="dxa" w:w="3900"/>
            <w:tcBorders>
              <w:top w:val="single" w:color="CCCCCC" w:sz="1"/>
              <w:left w:val="single" w:color="CCCCCC" w:sz="1"/>
              <w:bottom w:val="single" w:color="CCCCCC" w:sz="1"/>
              <w:right w:val="single" w:color="CCCCCC" w:sz="1"/>
            </w:tcBorders>
          </w:tcPr>
          <w:p>
            <w:r>
              <w:t xml:space="preserve">Framework validation long terme défini</w:t>
            </w:r>
          </w:p>
        </w:tc>
      </w:tr>
      <w:tr>
        <w:tc>
          <w:tcPr>
            <w:tcW w:type="dxa" w:w="3900"/>
            <w:tcBorders>
              <w:top w:val="single" w:color="CCCCCC" w:sz="1"/>
              <w:left w:val="single" w:color="CCCCCC" w:sz="1"/>
              <w:bottom w:val="single" w:color="CCCCCC" w:sz="1"/>
              <w:right w:val="single" w:color="CCCCCC" w:sz="1"/>
            </w:tcBorders>
            <w:shd w:fill="E8E8E8" w:val="clear"/>
          </w:tcPr>
          <w:p>
            <w:r>
              <w:rPr>
                <w:b/>
                <w:bCs/>
              </w:rPr>
              <w:t xml:space="preserve">SCORE GLOBAL v2.2</w:t>
            </w:r>
          </w:p>
        </w:tc>
        <w:tc>
          <w:tcPr>
            <w:tcW w:type="dxa" w:w="1560"/>
            <w:tcBorders>
              <w:top w:val="single" w:color="CCCCCC" w:sz="1"/>
              <w:left w:val="single" w:color="CCCCCC" w:sz="1"/>
              <w:bottom w:val="single" w:color="CCCCCC" w:sz="1"/>
              <w:right w:val="single" w:color="CCCCCC" w:sz="1"/>
            </w:tcBorders>
            <w:shd w:fill="27AE60" w:val="clear"/>
          </w:tcPr>
          <w:p>
            <w:pPr>
              <w:jc w:val="center"/>
            </w:pPr>
            <w:r>
              <w:rPr>
                <w:b/>
                <w:bCs/>
                <w:color w:val="FFFFFF"/>
                <w:sz w:val="28"/>
                <w:szCs w:val="28"/>
              </w:rPr>
              <w:t xml:space="preserve">9.4/10</w:t>
            </w:r>
          </w:p>
        </w:tc>
        <w:tc>
          <w:tcPr>
            <w:tcW w:type="dxa" w:w="3900"/>
            <w:tcBorders>
              <w:top w:val="single" w:color="CCCCCC" w:sz="1"/>
              <w:left w:val="single" w:color="CCCCCC" w:sz="1"/>
              <w:bottom w:val="single" w:color="CCCCCC" w:sz="1"/>
              <w:right w:val="single" w:color="CCCCCC" w:sz="1"/>
            </w:tcBorders>
            <w:shd w:fill="E8E8E8" w:val="clear"/>
          </w:tcPr>
          <w:p>
            <w:r>
              <w:rPr>
                <w:b/>
                <w:bCs/>
              </w:rPr>
              <w:t xml:space="preserve">World-class — Production-ready</w:t>
            </w:r>
          </w:p>
        </w:tc>
      </w:tr>
    </w:tbl>
    <w:p>
      <w:pPr>
        <w:spacing w:before="480" w:after="240"/>
        <w:jc w:val="center"/>
      </w:pPr>
      <w:r>
        <w:rPr>
          <w:sz w:val="48"/>
          <w:szCs w:val="48"/>
        </w:rPr>
        <w:t xml:space="preserve">___</w:t>
      </w:r>
    </w:p>
    <w:p>
      <w:pPr>
        <w:jc w:val="center"/>
      </w:pPr>
      <w:r>
        <w:rPr>
          <w:b/>
          <w:bCs/>
          <w:sz w:val="36"/>
          <w:szCs w:val="36"/>
        </w:rPr>
        <w:t xml:space="preserve">STRYV LAB / GENESIS</w:t>
      </w:r>
    </w:p>
    <w:p>
      <w:pPr>
        <w:spacing w:after="60"/>
        <w:jc w:val="center"/>
      </w:pPr>
      <w:r>
        <w:rPr>
          <w:i/>
          <w:iCs/>
          <w:sz w:val="24"/>
          <w:szCs w:val="24"/>
        </w:rPr>
        <w:t xml:space="preserve">est maintenant</w:t>
      </w:r>
    </w:p>
    <w:p>
      <w:pPr>
        <w:spacing w:after="60"/>
        <w:jc w:val="center"/>
      </w:pPr>
      <w:r>
        <w:rPr>
          <w:b/>
          <w:bCs/>
          <w:color w:val="27AE60"/>
          <w:sz w:val="44"/>
          <w:szCs w:val="44"/>
        </w:rPr>
        <w:t xml:space="preserve">ANTI-FRAGILE</w:t>
      </w:r>
    </w:p>
    <w:p>
      <w:pPr>
        <w:spacing w:after="60"/>
        <w:jc w:val="center"/>
      </w:pPr>
      <w:r>
        <w:rPr>
          <w:sz w:val="28"/>
          <w:szCs w:val="28"/>
        </w:rPr>
        <w:t xml:space="preserve">&amp;</w:t>
      </w:r>
    </w:p>
    <w:p>
      <w:pPr>
        <w:spacing w:after="360"/>
        <w:jc w:val="center"/>
      </w:pPr>
      <w:r>
        <w:rPr>
          <w:b/>
          <w:bCs/>
          <w:color w:val="27AE60"/>
          <w:sz w:val="44"/>
          <w:szCs w:val="44"/>
        </w:rPr>
        <w:t xml:space="preserve">EMPIRIQUEMENT VALIDÉ</w:t>
      </w:r>
    </w:p>
    <w:p>
      <w:pPr>
        <w:jc w:val="center"/>
      </w:pPr>
      <w:r>
        <w:rPr>
          <w:i/>
          <w:iCs/>
          <w:color w:val="7F8C8D"/>
          <w:sz w:val="20"/>
          <w:szCs w:val="20"/>
        </w:rPr>
        <w:t xml:space="preserve">Document Maître Version 2.2 — Décembre 2025</w:t>
      </w:r>
    </w:p>
    <w:p>
      <w:pPr>
        <w:jc w:val="center"/>
      </w:pPr>
      <w:r>
        <w:rPr>
          <w:color w:val="7F8C8D"/>
          <w:sz w:val="18"/>
          <w:szCs w:val="18"/>
        </w:rPr>
        <w:t xml:space="preserve">Fondateur : Coach Stryv / STRYV LAB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A1A1A"/>
      <w:sz w:val="48"/>
      <w:szCs w:val="48"/>
    </w:rPr>
  </w:style>
  <w:style w:type="paragraph" w:styleId="Heading1">
    <w:name w:val="Heading 1"/>
    <w:basedOn w:val="Normal"/>
    <w:pPr>
      <w:spacing w:before="360" w:after="240"/>
      <w:outlineLvl w:val="0"/>
    </w:pPr>
    <w:rPr>
      <w:rFonts w:ascii="Arial" w:cs="Arial" w:eastAsia="Arial" w:hAnsi="Arial"/>
      <w:b/>
      <w:bCs/>
      <w:color w:val="2C3E50"/>
      <w:sz w:val="32"/>
      <w:szCs w:val="32"/>
    </w:rPr>
  </w:style>
  <w:style w:type="paragraph" w:styleId="Heading2">
    <w:name w:val="Heading 2"/>
    <w:basedOn w:val="Normal"/>
    <w:pPr>
      <w:spacing w:before="240" w:after="180"/>
      <w:outlineLvl w:val="1"/>
    </w:pPr>
    <w:rPr>
      <w:rFonts w:ascii="Arial" w:cs="Arial" w:eastAsia="Arial" w:hAnsi="Arial"/>
      <w:b/>
      <w:bCs/>
      <w:color w:val="2C3E50"/>
      <w:sz w:val="26"/>
      <w:szCs w:val="26"/>
    </w:rPr>
  </w:style>
  <w:style w:type="paragraph" w:styleId="Heading3">
    <w:name w:val="Heading 3"/>
    <w:basedOn w:val="Normal"/>
    <w:pPr>
      <w:spacing w:before="180" w:after="120"/>
      <w:outlineLvl w:val="2"/>
    </w:pPr>
    <w:rPr>
      <w:rFonts w:ascii="Arial" w:cs="Arial" w:eastAsia="Arial" w:hAnsi="Arial"/>
      <w:b/>
      <w:bCs/>
      <w:color w:val="7F8C8D"/>
      <w:sz w:val="24"/>
      <w:szCs w:val="24"/>
    </w:rPr>
  </w:style>
  <w:style w:type="paragraph" w:styleId="warning">
    <w:name w:val="Warning"/>
    <w:basedOn w:val="Normal"/>
    <w:pPr>
      <w:spacing w:before="120" w:after="120"/>
    </w:pPr>
    <w:rPr>
      <w:b/>
      <w:bCs/>
      <w:color w:val="E74C3C"/>
      <w:sz w:val="22"/>
      <w:szCs w:val="22"/>
    </w:rPr>
  </w:style>
  <w:style w:type="paragraph" w:styleId="success">
    <w:name w:val="Success"/>
    <w:basedOn w:val="Normal"/>
    <w:pPr>
      <w:spacing w:before="120" w:after="120"/>
    </w:pPr>
    <w:rPr>
      <w:b/>
      <w:bCs/>
      <w:color w:val="27AE60"/>
      <w:sz w:val="22"/>
      <w:szCs w:val="22"/>
    </w:rPr>
  </w:style>
  <w:style w:type="paragraph" w:styleId="formula">
    <w:name w:val="Formula"/>
    <w:basedOn w:val="Normal"/>
    <w:pPr>
      <w:spacing w:before="120" w:after="120"/>
      <w:jc w:val="center"/>
    </w:pPr>
    <w:rPr>
      <w:rFonts w:ascii="Courier New" w:cs="Courier New" w:eastAsia="Courier New" w:hAnsi="Courier New"/>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2025-12-26T23:57:08.909Z</dcterms:created>
  <dcterms:modified xsi:type="dcterms:W3CDTF">2025-12-26T23:57:08.910Z</dcterms:modified>
</cp:coreProperties>
</file>

<file path=docProps/custom.xml><?xml version="1.0" encoding="utf-8"?>
<Properties xmlns="http://schemas.openxmlformats.org/officeDocument/2006/custom-properties" xmlns:vt="http://schemas.openxmlformats.org/officeDocument/2006/docPropsVTypes"/>
</file>