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0.png" ContentType="image/png"/>
  <Override PartName="/word/media/rId22.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sex-biased</w:t>
      </w:r>
      <w:r>
        <w:t xml:space="preserve"> </w:t>
      </w:r>
      <w:r>
        <w:t xml:space="preserve">ancestry</w:t>
      </w:r>
      <w:r>
        <w:t xml:space="preserve"> </w:t>
      </w:r>
      <w:r>
        <w:t xml:space="preserve">from</w:t>
      </w:r>
      <w:r>
        <w:t xml:space="preserve"> </w:t>
      </w:r>
      <w:r>
        <w:t xml:space="preserve">uniparental</w:t>
      </w:r>
      <w:r>
        <w:t xml:space="preserve"> </w:t>
      </w:r>
      <w:r>
        <w:t xml:space="preserve">markers</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variable</w:t>
      </w:r>
      <w:r>
        <w:t xml:space="preserve"> </w:t>
      </w:r>
      <w:r>
        <w:t xml:space="preserve">admixture</w:t>
      </w:r>
      <w:r>
        <w:t xml:space="preserve"> </w:t>
      </w:r>
      <w:r>
        <w:t xml:space="preserve">proportions</w:t>
      </w:r>
    </w:p>
    <w:p>
      <w:pPr>
        <w:pStyle w:val="FirstParagraph"/>
      </w:pPr>
      <w:r>
        <w:t xml:space="preserve">We would like to quantify potential sex bias in admixture using uni-parental markers (Y chromosome- and mitochondrial haplotypes). Specifically, we consider admixed early-medieval individuals from England, for which we have estimated CNE-WBI admixture proportions. We would like to use the observed uniparental markers in these individuals, and the frequency of these haplogroups in the putative source populations, to compare the likelihood of drawing a male (or female) CNE haplogroup with the autosomal admixture proportion. In the following, we denote WBI as source 1, and CNE as source 2.</w:t>
      </w:r>
    </w:p>
    <w:p>
      <w:pPr>
        <w:pStyle w:val="BodyText"/>
      </w:pPr>
      <w:r>
        <w:t xml:space="preserve">We first will derive a simple calculation of the likelihood for whether a given haplotype was inherited from one group or another group, based on the sample counts of that haplogroup in the given source population. We first assume that we know precisely the population haplogroup frequencies in both sources, denoted by</w:t>
      </w:r>
      <w:r>
        <w:t xml:space="preserve"> </w:t>
      </w:r>
      <m:oMath>
        <m:sSub>
          <m:e>
            <m:r>
              <m:t>x</m:t>
            </m:r>
          </m:e>
          <m:sub>
            <m:r>
              <m:t>i</m:t>
            </m:r>
            <m:r>
              <m:t>j</m:t>
            </m:r>
          </m:sub>
        </m:sSub>
      </m:oMath>
      <w:r>
        <w:t xml:space="preserve"> </w:t>
      </w:r>
      <w:r>
        <w:t xml:space="preserve">for haplogroup</w:t>
      </w:r>
      <w:r>
        <w:t xml:space="preserve"> </w:t>
      </w:r>
      <m:oMath>
        <m:r>
          <m:t>i</m:t>
        </m:r>
        <m:r>
          <m:rPr>
            <m:sty m:val="p"/>
          </m:rPr>
          <m:t>=</m:t>
        </m:r>
        <m:r>
          <m:t>1</m:t>
        </m:r>
        <m:r>
          <m:rPr>
            <m:sty m:val="p"/>
          </m:rPr>
          <m:t>…</m:t>
        </m:r>
        <m:r>
          <m:t>H</m:t>
        </m:r>
      </m:oMath>
      <w:r>
        <w:t xml:space="preserve"> </w:t>
      </w:r>
      <w:r>
        <w:t xml:space="preserve">in source</w:t>
      </w:r>
      <w:r>
        <w:t xml:space="preserve"> </w:t>
      </w:r>
      <m:oMath>
        <m:r>
          <m:t>j</m:t>
        </m:r>
        <m:r>
          <m:rPr>
            <m:sty m:val="p"/>
          </m:rPr>
          <m:t>=</m:t>
        </m:r>
        <m:r>
          <m:t>1</m:t>
        </m:r>
        <m:r>
          <m:rPr>
            <m:sty m:val="p"/>
          </m:rPr>
          <m:t>,</m:t>
        </m:r>
        <m:r>
          <m:t>2</m:t>
        </m:r>
      </m:oMath>
      <w:r>
        <w:t xml:space="preserve"> </w:t>
      </w:r>
      <w:r>
        <w:t xml:space="preserve">(we use</w:t>
      </w:r>
      <w:r>
        <w:t xml:space="preserve"> </w:t>
      </w:r>
      <m:oMath>
        <m:r>
          <m:rPr>
            <m:sty m:val="b"/>
          </m:rPr>
          <m:t>x</m:t>
        </m:r>
      </m:oMath>
      <w:r>
        <w:t xml:space="preserve"> </w:t>
      </w:r>
      <w:r>
        <w:t xml:space="preserve">to denote the set of</w:t>
      </w:r>
      <w:r>
        <w:t xml:space="preserve"> </w:t>
      </w:r>
      <m:oMath>
        <m:r>
          <m:rPr>
            <m:sty m:val="p"/>
          </m:rPr>
          <m:t>{</m:t>
        </m:r>
        <m:sSub>
          <m:e>
            <m:r>
              <m:t>x</m:t>
            </m:r>
          </m:e>
          <m:sub>
            <m:r>
              <m:t>i</m:t>
            </m:r>
            <m:r>
              <m:t>j</m:t>
            </m:r>
          </m:sub>
        </m:sSub>
        <m:r>
          <m:rPr>
            <m:sty m:val="p"/>
          </m:rPr>
          <m:t>}</m:t>
        </m:r>
      </m:oMath>
      <w:r>
        <w:t xml:space="preserve">. The likelihood for an individual to carry haplogroup</w:t>
      </w:r>
      <w:r>
        <w:t xml:space="preserve"> </w:t>
      </w:r>
      <m:oMath>
        <m:r>
          <m:t>H</m:t>
        </m:r>
        <m:r>
          <m:rPr>
            <m:sty m:val="p"/>
          </m:rPr>
          <m:t>=</m:t>
        </m:r>
        <m:r>
          <m:t>i</m:t>
        </m:r>
      </m:oMath>
      <w:r>
        <w:t xml:space="preserve"> </w:t>
      </w:r>
      <w:r>
        <w:t xml:space="preserve">contributed from source</w:t>
      </w:r>
      <w:r>
        <w:t xml:space="preserve"> </w:t>
      </w:r>
      <m:oMath>
        <m:r>
          <m:t>S</m:t>
        </m:r>
        <m:r>
          <m:rPr>
            <m:sty m:val="p"/>
          </m:rPr>
          <m:t>=</m:t>
        </m:r>
        <m:r>
          <m:t>j</m:t>
        </m:r>
      </m:oMath>
      <w:r>
        <w:t xml:space="preserve"> </w:t>
      </w:r>
      <w:r>
        <w:t xml:space="preserve">is then simply:</w:t>
      </w:r>
    </w:p>
    <w:p>
      <w:pPr>
        <w:pStyle w:val="BodyText"/>
      </w:pPr>
      <m:oMathPara>
        <m:oMathParaPr>
          <m:jc m:val="center"/>
        </m:oMathParaPr>
        <m:oMath>
          <m:r>
            <m:rPr>
              <m:sty m:val="p"/>
              <m:scr m:val="script"/>
            </m:rPr>
            <m:t>L</m:t>
          </m:r>
          <m:d>
            <m:dPr>
              <m:begChr m:val="("/>
              <m:endChr m:val=")"/>
              <m:sepChr m:val=""/>
              <m:grow/>
            </m:dPr>
            <m:e>
              <m:r>
                <m:t>H</m:t>
              </m:r>
              <m:r>
                <m:rPr>
                  <m:sty m:val="p"/>
                </m:rPr>
                <m:t>=</m:t>
              </m:r>
              <m:r>
                <m:t>i</m:t>
              </m:r>
              <m:r>
                <m:rPr>
                  <m:sty m:val="p"/>
                </m:rPr>
                <m:t>,</m:t>
              </m:r>
              <m:r>
                <m:t>S</m:t>
              </m:r>
              <m:r>
                <m:rPr>
                  <m:sty m:val="p"/>
                </m:rPr>
                <m:t>=</m:t>
              </m:r>
              <m:r>
                <m:t>j</m:t>
              </m:r>
              <m:r>
                <m:rPr>
                  <m:sty m:val="p"/>
                </m:rPr>
                <m:t>|</m:t>
              </m:r>
              <m:r>
                <m:rPr>
                  <m:sty m:val="b"/>
                </m:rPr>
                <m:t>x</m:t>
              </m:r>
            </m:e>
          </m:d>
          <m:r>
            <m:rPr>
              <m:sty m:val="p"/>
            </m:rPr>
            <m:t>=</m:t>
          </m:r>
          <m:sSub>
            <m:e>
              <m:r>
                <m:t>x</m:t>
              </m:r>
            </m:e>
            <m:sub>
              <m:r>
                <m:t>i</m:t>
              </m:r>
              <m:r>
                <m:t>j</m:t>
              </m:r>
            </m:sub>
          </m:sSub>
        </m:oMath>
      </m:oMathPara>
    </w:p>
    <w:p>
      <w:pPr>
        <w:pStyle w:val="FirstParagraph"/>
      </w:pPr>
      <w:r>
        <w:t xml:space="preserve">But the true population haplogroup frequencies are not known. Rather, we have a finite number of individuals in both sources. Specifically, we use</w:t>
      </w:r>
      <w:r>
        <w:t xml:space="preserve"> </w:t>
      </w:r>
      <m:oMath>
        <m:sSub>
          <m:e>
            <m:r>
              <m:t>N</m:t>
            </m:r>
          </m:e>
          <m:sub>
            <m:r>
              <m:t>i</m:t>
            </m:r>
            <m:r>
              <m:t>j</m:t>
            </m:r>
          </m:sub>
        </m:sSub>
      </m:oMath>
      <w:r>
        <w:t xml:space="preserve"> </w:t>
      </w:r>
      <w:r>
        <w:t xml:space="preserve">to denote the number of individuals with haplogroup</w:t>
      </w:r>
      <w:r>
        <w:t xml:space="preserve"> </w:t>
      </w:r>
      <m:oMath>
        <m:r>
          <m:t>i</m:t>
        </m:r>
      </m:oMath>
      <w:r>
        <w:t xml:space="preserve"> </w:t>
      </w:r>
      <w:r>
        <w:t xml:space="preserve">in source</w:t>
      </w:r>
      <w:r>
        <w:t xml:space="preserve"> </w:t>
      </w:r>
      <m:oMath>
        <m:r>
          <m:t>j</m:t>
        </m:r>
      </m:oMath>
      <w:r>
        <w:t xml:space="preserve"> </w:t>
      </w:r>
      <w:r>
        <w:t xml:space="preserve">(and</w:t>
      </w:r>
      <w:r>
        <w:t xml:space="preserve"> </w:t>
      </w:r>
      <m:oMath>
        <m:r>
          <m:rPr>
            <m:sty m:val="b"/>
          </m:rPr>
          <m:t>N</m:t>
        </m:r>
      </m:oMath>
      <w:r>
        <w:t xml:space="preserve"> </w:t>
      </w:r>
      <w:r>
        <w:t xml:space="preserve">to denote the entire matrix). The unobserved population frequency is now a latent variable following a conditional distribution,</w:t>
      </w:r>
      <w:r>
        <w:t xml:space="preserve"> </w:t>
      </w:r>
      <m:oMath>
        <m:r>
          <m:t>p</m:t>
        </m:r>
        <m:d>
          <m:dPr>
            <m:begChr m:val="("/>
            <m:endChr m:val=")"/>
            <m:sepChr m:val=""/>
            <m:grow/>
          </m:dPr>
          <m:e>
            <m:r>
              <m:t>x</m:t>
            </m:r>
            <m:r>
              <m:rPr>
                <m:sty m:val="p"/>
              </m:rPr>
              <m:t>|</m:t>
            </m:r>
            <m:r>
              <m:rPr>
                <m:sty m:val="b"/>
              </m:rPr>
              <m:t>N</m:t>
            </m:r>
          </m:e>
        </m:d>
      </m:oMath>
      <w:r>
        <w:t xml:space="preserve">, which - following standard Bayesian computaton - takes the form of a beta distribution with parameters</w:t>
      </w:r>
      <w:r>
        <w:t xml:space="preserve"> </w:t>
      </w:r>
      <m:oMath>
        <m:r>
          <m:t>1</m:t>
        </m:r>
        <m:r>
          <m:rPr>
            <m:sty m:val="p"/>
          </m:rPr>
          <m:t>+</m:t>
        </m:r>
        <m:sSub>
          <m:e>
            <m:r>
              <m:t>N</m:t>
            </m:r>
          </m:e>
          <m:sub>
            <m:r>
              <m:t>i</m:t>
            </m:r>
            <m:r>
              <m:t>j</m:t>
            </m:r>
          </m:sub>
        </m:sSub>
      </m:oMath>
      <w:r>
        <w:t xml:space="preserve"> </w:t>
      </w:r>
      <w:r>
        <w:t xml:space="preserve">and</w:t>
      </w:r>
      <w:r>
        <w:t xml:space="preserve"> </w:t>
      </w:r>
      <m:oMath>
        <m:r>
          <m:t>1</m:t>
        </m:r>
        <m:r>
          <m:rPr>
            <m:sty m:val="p"/>
          </m:rPr>
          <m:t>+</m:t>
        </m:r>
        <m:sSub>
          <m:e>
            <m:r>
              <m:t>N</m:t>
            </m:r>
          </m:e>
          <m:sub>
            <m:r>
              <m:rPr>
                <m:sty m:val="p"/>
              </m:rPr>
              <m:t>.</m:t>
            </m:r>
            <m:r>
              <m:t>j</m:t>
            </m:r>
          </m:sub>
        </m:sSub>
        <m:r>
          <m:rPr>
            <m:sty m:val="p"/>
          </m:rPr>
          <m:t>−</m:t>
        </m:r>
        <m:sSub>
          <m:e>
            <m:r>
              <m:t>N</m:t>
            </m:r>
          </m:e>
          <m:sub>
            <m:r>
              <m:t>i</m:t>
            </m:r>
            <m:r>
              <m:t>j</m:t>
            </m:r>
          </m:sub>
        </m:sSub>
      </m:oMath>
      <w:r>
        <w:t xml:space="preserve">, where</w:t>
      </w:r>
      <w:r>
        <w:t xml:space="preserve"> </w:t>
      </w:r>
      <m:oMath>
        <m:sSub>
          <m:e>
            <m:r>
              <m:t>N</m:t>
            </m:r>
          </m:e>
          <m:sub>
            <m:r>
              <m:rPr>
                <m:sty m:val="p"/>
              </m:rPr>
              <m:t>.</m:t>
            </m:r>
            <m:r>
              <m:t>j</m:t>
            </m:r>
          </m:sub>
        </m:sSub>
        <m:r>
          <m:rPr>
            <m:sty m:val="p"/>
          </m:rPr>
          <m:t>=</m:t>
        </m:r>
        <m:nary>
          <m:naryPr>
            <m:chr m:val="∑"/>
            <m:limLoc m:val="undOvr"/>
            <m:subHide m:val="0"/>
            <m:supHide m:val="1"/>
          </m:naryPr>
          <m:sub>
            <m:r>
              <m:t>i</m:t>
            </m:r>
          </m:sub>
          <m:sup>
            <m:r>
              <m:t>​</m:t>
            </m:r>
          </m:sup>
          <m:e>
            <m:sSub>
              <m:e>
                <m:r>
                  <m:t>N</m:t>
                </m:r>
              </m:e>
              <m:sub>
                <m:r>
                  <m:t>i</m:t>
                </m:r>
                <m:r>
                  <m:t>j</m:t>
                </m:r>
              </m:sub>
            </m:sSub>
          </m:e>
        </m:nary>
      </m:oMath>
      <w:r>
        <w:t xml:space="preserve">:</w:t>
      </w:r>
    </w:p>
    <w:p>
      <w:pPr>
        <w:pStyle w:val="BodyText"/>
      </w:pPr>
      <m:oMathPara>
        <m:oMathParaPr>
          <m:jc m:val="center"/>
        </m:oMathParaPr>
        <m:oMath>
          <m:r>
            <m:rPr>
              <m:sty m:val="p"/>
              <m:scr m:val="script"/>
            </m:rPr>
            <m:t>L</m:t>
          </m:r>
          <m:d>
            <m:dPr>
              <m:begChr m:val="("/>
              <m:endChr m:val=")"/>
              <m:sepChr m:val=""/>
              <m:grow/>
            </m:dPr>
            <m:e>
              <m:r>
                <m:t>x</m:t>
              </m:r>
              <m:r>
                <m:rPr>
                  <m:sty m:val="p"/>
                </m:rPr>
                <m:t>|</m:t>
              </m:r>
              <m:r>
                <m:rPr>
                  <m:sty m:val="b"/>
                </m:rPr>
                <m:t>N</m:t>
              </m:r>
            </m:e>
          </m:d>
          <m:r>
            <m:rPr>
              <m:sty m:val="p"/>
            </m:rPr>
            <m:t>=</m:t>
          </m:r>
          <m:r>
            <m:rPr>
              <m:sty m:val="p"/>
            </m:rPr>
            <m:t>B</m:t>
          </m:r>
          <m:r>
            <m:rPr>
              <m:sty m:val="p"/>
            </m:rPr>
            <m:t>e</m:t>
          </m:r>
          <m:r>
            <m:rPr>
              <m:sty m:val="p"/>
            </m:rPr>
            <m:t>t</m:t>
          </m:r>
          <m:r>
            <m:rPr>
              <m:sty m:val="p"/>
            </m:rPr>
            <m:t>a</m:t>
          </m:r>
          <m:d>
            <m:dPr>
              <m:begChr m:val="("/>
              <m:endChr m:val=")"/>
              <m:sepChr m:val=""/>
              <m:grow/>
            </m:dPr>
            <m:e>
              <m:r>
                <m:t>x</m:t>
              </m:r>
              <m:r>
                <m:rPr>
                  <m:sty m:val="p"/>
                </m:rPr>
                <m:t>|</m:t>
              </m:r>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oMath>
      </m:oMathPara>
    </w:p>
    <w:p>
      <w:pPr>
        <w:pStyle w:val="FirstParagraph"/>
      </w:pPr>
      <w:r>
        <w:t xml:space="preserve">which means that the full likelihood is a beta-binomial distribution with sample size 1, which can be written using beta functions:</w:t>
      </w:r>
    </w:p>
    <w:p>
      <w:pPr>
        <w:pStyle w:val="BodyText"/>
      </w:pPr>
      <m:oMathPara>
        <m:oMathParaPr>
          <m:jc m:val="center"/>
        </m:oMathParaPr>
        <m:oMath>
          <m:r>
            <m:rPr>
              <m:sty m:val="p"/>
              <m:scr m:val="script"/>
            </m:rPr>
            <m:t>L</m:t>
          </m:r>
          <m:d>
            <m:dPr>
              <m:begChr m:val="("/>
              <m:endChr m:val=")"/>
              <m:sepChr m:val=""/>
              <m:grow/>
            </m:dPr>
            <m:e>
              <m:r>
                <m:t>H</m:t>
              </m:r>
              <m:r>
                <m:rPr>
                  <m:sty m:val="p"/>
                </m:rPr>
                <m:t>=</m:t>
              </m:r>
              <m:r>
                <m:t>i</m:t>
              </m:r>
              <m:r>
                <m:rPr>
                  <m:sty m:val="p"/>
                </m:rPr>
                <m:t>,</m:t>
              </m:r>
              <m:r>
                <m:t>S</m:t>
              </m:r>
              <m:r>
                <m:rPr>
                  <m:sty m:val="p"/>
                </m:rPr>
                <m:t>=</m:t>
              </m:r>
              <m:r>
                <m:t>j</m:t>
              </m:r>
              <m:r>
                <m:rPr>
                  <m:sty m:val="p"/>
                </m:rPr>
                <m:t>|</m:t>
              </m:r>
              <m:r>
                <m:rPr>
                  <m:sty m:val="b"/>
                </m:rPr>
                <m:t>N</m:t>
              </m:r>
            </m:e>
          </m:d>
          <m:r>
            <m:rPr>
              <m:sty m:val="p"/>
            </m:rPr>
            <m:t>=</m:t>
          </m:r>
          <m:nary>
            <m:naryPr>
              <m:chr m:val="∫"/>
              <m:limLoc m:val="subSup"/>
              <m:subHide m:val="0"/>
              <m:supHide m:val="0"/>
            </m:naryPr>
            <m:sub>
              <m:r>
                <m:t>0</m:t>
              </m:r>
            </m:sub>
            <m:sup>
              <m:r>
                <m:t>1</m:t>
              </m:r>
            </m:sup>
            <m:e>
              <m:r>
                <m:t>x</m:t>
              </m:r>
            </m:e>
          </m:nary>
          <m:r>
            <m:t> </m:t>
          </m:r>
          <m:r>
            <m:rPr>
              <m:sty m:val="p"/>
            </m:rPr>
            <m:t>B</m:t>
          </m:r>
          <m:r>
            <m:rPr>
              <m:sty m:val="p"/>
            </m:rPr>
            <m:t>e</m:t>
          </m:r>
          <m:r>
            <m:rPr>
              <m:sty m:val="p"/>
            </m:rPr>
            <m:t>t</m:t>
          </m:r>
          <m:r>
            <m:rPr>
              <m:sty m:val="p"/>
            </m:rPr>
            <m:t>a</m:t>
          </m:r>
          <m:d>
            <m:dPr>
              <m:begChr m:val="("/>
              <m:endChr m:val=")"/>
              <m:sepChr m:val=""/>
              <m:grow/>
            </m:dPr>
            <m:e>
              <m:r>
                <m:t>x</m:t>
              </m:r>
              <m:r>
                <m:rPr>
                  <m:sty m:val="p"/>
                </m:rPr>
                <m:t>|</m:t>
              </m:r>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r>
            <m:rPr>
              <m:sty m:val="p"/>
            </m:rPr>
            <m:t>d</m:t>
          </m:r>
          <m:r>
            <m:t>x</m:t>
          </m:r>
          <m:r>
            <m:rPr>
              <m:sty m:val="p"/>
            </m:rPr>
            <m:t>=</m:t>
          </m:r>
          <m:f>
            <m:fPr>
              <m:type m:val="bar"/>
            </m:fPr>
            <m:num>
              <m:r>
                <m:t>B</m:t>
              </m:r>
              <m:d>
                <m:dPr>
                  <m:begChr m:val="("/>
                  <m:endChr m:val=")"/>
                  <m:sepChr m:val=""/>
                  <m:grow/>
                </m:dPr>
                <m:e>
                  <m:r>
                    <m:t>2</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num>
            <m:den>
              <m:r>
                <m:t>B</m:t>
              </m:r>
              <m:d>
                <m:dPr>
                  <m:begChr m:val="("/>
                  <m:endChr m:val=")"/>
                  <m:sepChr m:val=""/>
                  <m:grow/>
                </m:dPr>
                <m:e>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den>
          </m:f>
        </m:oMath>
      </m:oMathPara>
    </w:p>
    <w:p>
      <w:pPr>
        <w:pStyle w:val="FirstParagraph"/>
      </w:pPr>
      <w:r>
        <w:t xml:space="preserve">We can now compute the probability</w:t>
      </w:r>
      <w:r>
        <w:t xml:space="preserve"> </w:t>
      </w:r>
      <m:oMath>
        <m:r>
          <m:t>P</m:t>
        </m:r>
        <m:r>
          <m:rPr>
            <m:sty m:val="p"/>
          </m:rPr>
          <m:t>(</m:t>
        </m:r>
        <m:r>
          <m:t>s</m:t>
        </m:r>
        <m:r>
          <m:rPr>
            <m:sty m:val="p"/>
          </m:rPr>
          <m:t>|</m:t>
        </m:r>
        <m:r>
          <m:rPr>
            <m:sty m:val="b"/>
          </m:rPr>
          <m:t>N</m:t>
        </m:r>
      </m:oMath>
      <w:r>
        <w:t xml:space="preserve"> </w:t>
      </w:r>
      <w:r>
        <w:t xml:space="preserve">that a given target haplogroup was contributed from Source</w:t>
      </w:r>
      <w:r>
        <w:t xml:space="preserve"> </w:t>
      </w:r>
      <m:oMath>
        <m:r>
          <m:t>s</m:t>
        </m:r>
      </m:oMath>
      <w:r>
        <w:t xml:space="preserve"> </w:t>
      </w:r>
      <w:r>
        <w:t xml:space="preserve">using Bayes rule:</w:t>
      </w:r>
    </w:p>
    <w:p>
      <w:pPr>
        <w:pStyle w:val="BodyText"/>
      </w:pPr>
      <m:oMathPara>
        <m:oMathParaPr>
          <m:jc m:val="center"/>
        </m:oMathParaPr>
        <m:oMath>
          <m:r>
            <m:t>p</m:t>
          </m:r>
          <m:d>
            <m:dPr>
              <m:begChr m:val="("/>
              <m:endChr m:val=")"/>
              <m:sepChr m:val=""/>
              <m:grow/>
            </m:dPr>
            <m:e>
              <m:r>
                <m:t>s</m:t>
              </m:r>
              <m:r>
                <m:rPr>
                  <m:sty m:val="p"/>
                </m:rPr>
                <m:t>|</m:t>
              </m:r>
              <m:r>
                <m:rPr>
                  <m:sty m:val="b"/>
                </m:rPr>
                <m:t>N</m:t>
              </m:r>
            </m:e>
          </m:d>
          <m:r>
            <m:rPr>
              <m:sty m:val="p"/>
            </m:rPr>
            <m:t>=</m:t>
          </m:r>
          <m:f>
            <m:fPr>
              <m:type m:val="bar"/>
            </m:fPr>
            <m:num>
              <m:r>
                <m:rPr>
                  <m:sty m:val="p"/>
                  <m:scr m:val="script"/>
                </m:rPr>
                <m:t>L</m:t>
              </m:r>
              <m:d>
                <m:dPr>
                  <m:begChr m:val="("/>
                  <m:endChr m:val=")"/>
                  <m:sepChr m:val=""/>
                  <m:grow/>
                </m:dPr>
                <m:e>
                  <m:r>
                    <m:t>H</m:t>
                  </m:r>
                  <m:r>
                    <m:rPr>
                      <m:sty m:val="p"/>
                    </m:rPr>
                    <m:t>=</m:t>
                  </m:r>
                  <m:r>
                    <m:t>i</m:t>
                  </m:r>
                  <m:r>
                    <m:rPr>
                      <m:sty m:val="p"/>
                    </m:rPr>
                    <m:t>,</m:t>
                  </m:r>
                  <m:r>
                    <m:t>S</m:t>
                  </m:r>
                  <m:r>
                    <m:rPr>
                      <m:sty m:val="p"/>
                    </m:rPr>
                    <m:t>=</m:t>
                  </m:r>
                  <m:r>
                    <m:t>s</m:t>
                  </m:r>
                  <m:r>
                    <m:rPr>
                      <m:sty m:val="p"/>
                    </m:rPr>
                    <m:t>|</m:t>
                  </m:r>
                  <m:r>
                    <m:rPr>
                      <m:sty m:val="b"/>
                    </m:rPr>
                    <m:t>N</m:t>
                  </m:r>
                </m:e>
              </m:d>
            </m:num>
            <m:den>
              <m:nary>
                <m:naryPr>
                  <m:chr m:val="∑"/>
                  <m:limLoc m:val="undOvr"/>
                  <m:subHide m:val="0"/>
                  <m:supHide m:val="1"/>
                </m:naryPr>
                <m:sub>
                  <m:r>
                    <m:t>j</m:t>
                  </m:r>
                </m:sub>
                <m:sup>
                  <m:r>
                    <m:t>​</m:t>
                  </m:r>
                </m:sup>
                <m:e>
                  <m:r>
                    <m:rPr>
                      <m:sty m:val="p"/>
                      <m:scr m:val="script"/>
                    </m:rPr>
                    <m:t>L</m:t>
                  </m:r>
                </m:e>
              </m:nary>
              <m:d>
                <m:dPr>
                  <m:begChr m:val="("/>
                  <m:endChr m:val=")"/>
                  <m:sepChr m:val=""/>
                  <m:grow/>
                </m:dPr>
                <m:e>
                  <m:r>
                    <m:t>H</m:t>
                  </m:r>
                  <m:r>
                    <m:rPr>
                      <m:sty m:val="p"/>
                    </m:rPr>
                    <m:t>=</m:t>
                  </m:r>
                  <m:r>
                    <m:t>i</m:t>
                  </m:r>
                  <m:r>
                    <m:rPr>
                      <m:sty m:val="p"/>
                    </m:rPr>
                    <m:t>,</m:t>
                  </m:r>
                  <m:r>
                    <m:t>S</m:t>
                  </m:r>
                  <m:r>
                    <m:rPr>
                      <m:sty m:val="p"/>
                    </m:rPr>
                    <m:t>=</m:t>
                  </m:r>
                  <m:r>
                    <m:t>j</m:t>
                  </m:r>
                  <m:r>
                    <m:rPr>
                      <m:sty m:val="p"/>
                    </m:rPr>
                    <m:t>|</m:t>
                  </m:r>
                  <m:r>
                    <m:rPr>
                      <m:sty m:val="b"/>
                    </m:rPr>
                    <m:t>N</m:t>
                  </m:r>
                </m:e>
              </m:d>
            </m:den>
          </m:f>
        </m:oMath>
      </m:oMathPara>
    </w:p>
    <w:p>
      <w:pPr>
        <w:pStyle w:val="FirstParagraph"/>
      </w:pPr>
      <w:r>
        <w:t xml:space="preserve">Here is a summary breakdown of the entire data into groups:</w:t>
      </w:r>
    </w:p>
    <w:p>
      <w:pPr>
        <w:pStyle w:val="SourceCode"/>
      </w:pPr>
      <w:r>
        <w:rPr>
          <w:rStyle w:val="NormalTok"/>
        </w:rPr>
        <w:t xml:space="preserve">datj </w:t>
      </w:r>
      <w:r>
        <w:rPr>
          <w:rStyle w:val="SpecialCharTok"/>
        </w:rPr>
        <w:t xml:space="preserve">%&gt;%</w:t>
      </w:r>
      <w:r>
        <w:rPr>
          <w:rStyle w:val="NormalTok"/>
        </w:rPr>
        <w:t xml:space="preserve"> dplyr</w:t>
      </w:r>
      <w:r>
        <w:rPr>
          <w:rStyle w:val="SpecialCharTok"/>
        </w:rPr>
        <w:t xml:space="preserve">::</w:t>
      </w:r>
      <w:r>
        <w:rPr>
          <w:rStyle w:val="FunctionTok"/>
        </w:rPr>
        <w:t xml:space="preserve">group_by</w:t>
      </w:r>
      <w:r>
        <w:rPr>
          <w:rStyle w:val="NormalTok"/>
        </w:rPr>
        <w:t xml:space="preserve">(Pop2) </w:t>
      </w:r>
      <w:r>
        <w:rPr>
          <w:rStyle w:val="SpecialCharTok"/>
        </w:rPr>
        <w:t xml:space="preserve">%&gt;%</w:t>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 =</w:t>
      </w:r>
      <w:r>
        <w:rPr>
          <w:rStyle w:val="NormalTok"/>
        </w:rPr>
        <w:t xml:space="preserve"> dplyr</w:t>
      </w:r>
      <w:r>
        <w:rPr>
          <w:rStyle w:val="SpecialCharTok"/>
        </w:rPr>
        <w:t xml:space="preserve">::</w:t>
      </w:r>
      <w:r>
        <w:rPr>
          <w:rStyle w:val="FunctionTok"/>
        </w:rPr>
        <w:t xml:space="preserve">n</w:t>
      </w:r>
      <w:r>
        <w:rPr>
          <w:rStyle w:val="NormalTok"/>
        </w:rPr>
        <w:t xml:space="preserve">())</w:t>
      </w:r>
    </w:p>
    <w:p>
      <w:pPr>
        <w:pStyle w:val="SourceCode"/>
      </w:pPr>
      <w:r>
        <w:rPr>
          <w:rStyle w:val="VerbatimChar"/>
        </w:rPr>
        <w:t xml:space="preserve">## # A tibble: 16 × 2</w:t>
      </w:r>
      <w:r>
        <w:br/>
      </w:r>
      <w:r>
        <w:rPr>
          <w:rStyle w:val="VerbatimChar"/>
        </w:rPr>
        <w:t xml:space="preserve">##    Pop2               n</w:t>
      </w:r>
      <w:r>
        <w:br/>
      </w:r>
      <w:r>
        <w:rPr>
          <w:rStyle w:val="VerbatimChar"/>
        </w:rPr>
        <w:t xml:space="preserve">##    &lt;chr&gt;          &lt;int&gt;</w:t>
      </w:r>
      <w:r>
        <w:br/>
      </w:r>
      <w:r>
        <w:rPr>
          <w:rStyle w:val="VerbatimChar"/>
        </w:rPr>
        <w:t xml:space="preserve">##  1 England_BA       140</w:t>
      </w:r>
      <w:r>
        <w:br/>
      </w:r>
      <w:r>
        <w:rPr>
          <w:rStyle w:val="VerbatimChar"/>
        </w:rPr>
        <w:t xml:space="preserve">##  2 England_EMA      294</w:t>
      </w:r>
      <w:r>
        <w:br/>
      </w:r>
      <w:r>
        <w:rPr>
          <w:rStyle w:val="VerbatimChar"/>
        </w:rPr>
        <w:t xml:space="preserve">##  3 England_IA       304</w:t>
      </w:r>
      <w:r>
        <w:br/>
      </w:r>
      <w:r>
        <w:rPr>
          <w:rStyle w:val="VerbatimChar"/>
        </w:rPr>
        <w:t xml:space="preserve">##  4 France_MA         17</w:t>
      </w:r>
      <w:r>
        <w:br/>
      </w:r>
      <w:r>
        <w:rPr>
          <w:rStyle w:val="VerbatimChar"/>
        </w:rPr>
        <w:t xml:space="preserve">##  5 Ireland_BA         3</w:t>
      </w:r>
      <w:r>
        <w:br/>
      </w:r>
      <w:r>
        <w:rPr>
          <w:rStyle w:val="VerbatimChar"/>
        </w:rPr>
        <w:t xml:space="preserve">##  6 Ireland_MA        39</w:t>
      </w:r>
      <w:r>
        <w:br/>
      </w:r>
      <w:r>
        <w:rPr>
          <w:rStyle w:val="VerbatimChar"/>
        </w:rPr>
        <w:t xml:space="preserve">##  7 NorthSea_BA       37</w:t>
      </w:r>
      <w:r>
        <w:br/>
      </w:r>
      <w:r>
        <w:rPr>
          <w:rStyle w:val="VerbatimChar"/>
        </w:rPr>
        <w:t xml:space="preserve">##  8 NorthSea_IA       19</w:t>
      </w:r>
      <w:r>
        <w:br/>
      </w:r>
      <w:r>
        <w:rPr>
          <w:rStyle w:val="VerbatimChar"/>
        </w:rPr>
        <w:t xml:space="preserve">##  9 NorthSea_MA      209</w:t>
      </w:r>
      <w:r>
        <w:br/>
      </w:r>
      <w:r>
        <w:rPr>
          <w:rStyle w:val="VerbatimChar"/>
        </w:rPr>
        <w:t xml:space="preserve">## 10 Scandinavia_BA     4</w:t>
      </w:r>
      <w:r>
        <w:br/>
      </w:r>
      <w:r>
        <w:rPr>
          <w:rStyle w:val="VerbatimChar"/>
        </w:rPr>
        <w:t xml:space="preserve">## 11 Scandinavia_IA     7</w:t>
      </w:r>
      <w:r>
        <w:br/>
      </w:r>
      <w:r>
        <w:rPr>
          <w:rStyle w:val="VerbatimChar"/>
        </w:rPr>
        <w:t xml:space="preserve">## 12 Scandinavia_MA   180</w:t>
      </w:r>
      <w:r>
        <w:br/>
      </w:r>
      <w:r>
        <w:rPr>
          <w:rStyle w:val="VerbatimChar"/>
        </w:rPr>
        <w:t xml:space="preserve">## 13 Scotland_BA       28</w:t>
      </w:r>
      <w:r>
        <w:br/>
      </w:r>
      <w:r>
        <w:rPr>
          <w:rStyle w:val="VerbatimChar"/>
        </w:rPr>
        <w:t xml:space="preserve">## 14 Scotland_IA       25</w:t>
      </w:r>
      <w:r>
        <w:br/>
      </w:r>
      <w:r>
        <w:rPr>
          <w:rStyle w:val="VerbatimChar"/>
        </w:rPr>
        <w:t xml:space="preserve">## 15 Wales_BA           7</w:t>
      </w:r>
      <w:r>
        <w:br/>
      </w:r>
      <w:r>
        <w:rPr>
          <w:rStyle w:val="VerbatimChar"/>
        </w:rPr>
        <w:t xml:space="preserve">## 16 Wales_IA           7</w:t>
      </w:r>
    </w:p>
    <w:p>
      <w:pPr>
        <w:pStyle w:val="FirstParagraph"/>
      </w:pPr>
      <w:r>
        <w:t xml:space="preserve">We now declare three groups of samples. First, a group of admixed individuals from England_EMA, defined as individuals with CNE (continental North-European) admixture proportions between 2 and 98%. Then two source groups: one consisting of individuals from Britain before the study period plus early medieval individuals with less than 2% CNE admixture (Source 1), and one consisting of individuals from Britain with more than 98% CNE ancestry and those sampled from across the North Sea (Source 2).</w:t>
      </w:r>
    </w:p>
    <w:bookmarkStart w:id="25" w:name="y-chromosomes"/>
    <w:p>
      <w:pPr>
        <w:pStyle w:val="Heading1"/>
      </w:pPr>
      <w:r>
        <w:t xml:space="preserve">Y chromosomes</w:t>
      </w:r>
    </w:p>
    <w:p>
      <w:pPr>
        <w:pStyle w:val="FirstParagraph"/>
      </w:pPr>
      <w:r>
        <w:t xml:space="preserve">We can now get the Y haplogroup frequencies in the two sources, and compute the probability of that haplogroup to come from source 2:</w:t>
      </w:r>
    </w:p>
    <w:p>
      <w:pPr>
        <w:pStyle w:val="SourceCode"/>
      </w:pPr>
      <w:r>
        <w:rPr>
          <w:rStyle w:val="VerbatimChar"/>
        </w:rPr>
        <w:t xml:space="preserve">## # A tibble: 14 × 4</w:t>
      </w:r>
      <w:r>
        <w:br/>
      </w:r>
      <w:r>
        <w:rPr>
          <w:rStyle w:val="VerbatimChar"/>
        </w:rPr>
        <w:t xml:space="preserve">##    Y_1         n1    n2 source2_prob</w:t>
      </w:r>
      <w:r>
        <w:br/>
      </w:r>
      <w:r>
        <w:rPr>
          <w:rStyle w:val="VerbatimChar"/>
        </w:rPr>
        <w:t xml:space="preserve">##    &lt;chr&gt;    &lt;int&gt; &lt;int&gt;        &lt;dbl&gt;</w:t>
      </w:r>
      <w:r>
        <w:br/>
      </w:r>
      <w:r>
        <w:rPr>
          <w:rStyle w:val="VerbatimChar"/>
        </w:rPr>
        <w:t xml:space="preserve">##  1 G            5     2        0.418</w:t>
      </w:r>
      <w:r>
        <w:br/>
      </w:r>
      <w:r>
        <w:rPr>
          <w:rStyle w:val="VerbatimChar"/>
        </w:rPr>
        <w:t xml:space="preserve">##  2 I1           4    61        0.947</w:t>
      </w:r>
      <w:r>
        <w:br/>
      </w:r>
      <w:r>
        <w:rPr>
          <w:rStyle w:val="VerbatimChar"/>
        </w:rPr>
        <w:t xml:space="preserve">##  3 I2a1a        3     3        0.590</w:t>
      </w:r>
      <w:r>
        <w:br/>
      </w:r>
      <w:r>
        <w:rPr>
          <w:rStyle w:val="VerbatimChar"/>
        </w:rPr>
        <w:t xml:space="preserve">##  4 I2a1b       10    14        0.662</w:t>
      </w:r>
      <w:r>
        <w:br/>
      </w:r>
      <w:r>
        <w:rPr>
          <w:rStyle w:val="VerbatimChar"/>
        </w:rPr>
        <w:t xml:space="preserve">##  5 J            1     4        0.782</w:t>
      </w:r>
      <w:r>
        <w:br/>
      </w:r>
      <w:r>
        <w:rPr>
          <w:rStyle w:val="VerbatimChar"/>
        </w:rPr>
        <w:t xml:space="preserve">##  6 R1b         19     7        0.365</w:t>
      </w:r>
      <w:r>
        <w:br/>
      </w:r>
      <w:r>
        <w:rPr>
          <w:rStyle w:val="VerbatimChar"/>
        </w:rPr>
        <w:t xml:space="preserve">##  7 R1b-L151     5     3        0.489</w:t>
      </w:r>
      <w:r>
        <w:br/>
      </w:r>
      <w:r>
        <w:rPr>
          <w:rStyle w:val="VerbatimChar"/>
        </w:rPr>
        <w:t xml:space="preserve">##  8 R1b-L51     10     3        0.343</w:t>
      </w:r>
      <w:r>
        <w:br/>
      </w:r>
      <w:r>
        <w:rPr>
          <w:rStyle w:val="VerbatimChar"/>
        </w:rPr>
        <w:t xml:space="preserve">##  9 R1b-P312   206    24        0.148</w:t>
      </w:r>
      <w:r>
        <w:br/>
      </w:r>
      <w:r>
        <w:rPr>
          <w:rStyle w:val="VerbatimChar"/>
        </w:rPr>
        <w:t xml:space="preserve">## 10 R1b-U106     3    59        0.956</w:t>
      </w:r>
      <w:r>
        <w:br/>
      </w:r>
      <w:r>
        <w:rPr>
          <w:rStyle w:val="VerbatimChar"/>
        </w:rPr>
        <w:t xml:space="preserve">## 11 E            0     3        0.852</w:t>
      </w:r>
      <w:r>
        <w:br/>
      </w:r>
      <w:r>
        <w:rPr>
          <w:rStyle w:val="VerbatimChar"/>
        </w:rPr>
        <w:t xml:space="preserve">## 12 I            0     3        0.852</w:t>
      </w:r>
      <w:r>
        <w:br/>
      </w:r>
      <w:r>
        <w:rPr>
          <w:rStyle w:val="VerbatimChar"/>
        </w:rPr>
        <w:t xml:space="preserve">## 13 N            0     1        0.742</w:t>
      </w:r>
      <w:r>
        <w:br/>
      </w:r>
      <w:r>
        <w:rPr>
          <w:rStyle w:val="VerbatimChar"/>
        </w:rPr>
        <w:t xml:space="preserve">## 14 R1a          0    10        0.940</w:t>
      </w:r>
    </w:p>
    <w:p>
      <w:pPr>
        <w:pStyle w:val="FirstParagraph"/>
      </w:pPr>
      <w:r>
        <w:t xml:space="preserve">None of the probabilities is lower than 5% or higher than 95%, suggesting that none of these haplogroups by themself is strictly indicative of male ancestry from a specific source. Nevertheless, we can view these probabilities as a function of autosomal admixture proportion:</w:t>
      </w:r>
    </w:p>
    <w:p>
      <w:pPr>
        <w:pStyle w:val="BodyText"/>
      </w:pP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7-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To understand this data, we set up a model with two parameters: The first parameter,</w:t>
      </w:r>
      <w:r>
        <w:t xml:space="preserve"> </w:t>
      </w:r>
      <m:oMath>
        <m:r>
          <m:t>α</m:t>
        </m:r>
      </m:oMath>
      <w:r>
        <w:t xml:space="preserve">, determines the amount of an individual’s CNE ancestry (Source 2). The second parameter,</w:t>
      </w:r>
      <w:r>
        <w:t xml:space="preserve"> </w:t>
      </w:r>
      <m:oMath>
        <m:r>
          <m:t>β</m:t>
        </m:r>
      </m:oMath>
      <w:r>
        <w:t xml:space="preserve"> </w:t>
      </w:r>
      <w:r>
        <w:t xml:space="preserve">determines the proportion of males within Source 2, with</w:t>
      </w:r>
      <w:r>
        <w:t xml:space="preserve"> </w:t>
      </w:r>
      <m:oMath>
        <m:r>
          <m:t>1</m:t>
        </m:r>
        <m:r>
          <m:rPr>
            <m:sty m:val="p"/>
          </m:rPr>
          <m:t>−</m:t>
        </m:r>
        <m:r>
          <m:t>β</m:t>
        </m:r>
      </m:oMath>
      <w:r>
        <w:t xml:space="preserve"> </w:t>
      </w:r>
      <w:r>
        <w:t xml:space="preserve">being the proportion of males within Source 1. Here is a schematic:</w:t>
      </w:r>
    </w:p>
    <w:p>
      <w:pPr>
        <w:pStyle w:val="CaptionedFigure"/>
      </w:pPr>
      <w:r>
        <w:drawing>
          <wp:inline>
            <wp:extent cx="5334000" cy="2281653"/>
            <wp:effectExtent b="0" l="0" r="0" t="0"/>
            <wp:docPr descr="A schematic of our sex-bias model and its two parameters \alpha and \beta" title="" id="1" name="Picture"/>
            <a:graphic>
              <a:graphicData uri="http://schemas.openxmlformats.org/drawingml/2006/picture">
                <pic:pic>
                  <pic:nvPicPr>
                    <pic:cNvPr descr="model_schematics.jpg" id="0" name="Picture"/>
                    <pic:cNvPicPr>
                      <a:picLocks noChangeArrowheads="1" noChangeAspect="1"/>
                    </pic:cNvPicPr>
                  </pic:nvPicPr>
                  <pic:blipFill>
                    <a:blip r:embed="rId21"/>
                    <a:stretch>
                      <a:fillRect/>
                    </a:stretch>
                  </pic:blipFill>
                  <pic:spPr bwMode="auto">
                    <a:xfrm>
                      <a:off x="0" y="0"/>
                      <a:ext cx="5334000" cy="2281653"/>
                    </a:xfrm>
                    <a:prstGeom prst="rect">
                      <a:avLst/>
                    </a:prstGeom>
                    <a:noFill/>
                    <a:ln w="9525">
                      <a:noFill/>
                      <a:headEnd/>
                      <a:tailEnd/>
                    </a:ln>
                  </pic:spPr>
                </pic:pic>
              </a:graphicData>
            </a:graphic>
          </wp:inline>
        </w:drawing>
      </w:r>
    </w:p>
    <w:p>
      <w:pPr>
        <w:pStyle w:val="ImageCaption"/>
      </w:pPr>
      <w:r>
        <w:t xml:space="preserve">A schematic of our sex-bias model and its two parameters</w:t>
      </w:r>
      <w:r>
        <w:t xml:space="preserve"> </w:t>
      </w:r>
      <m:oMath>
        <m:r>
          <m:t>α</m:t>
        </m:r>
      </m:oMath>
      <w:r>
        <w:t xml:space="preserve"> </w:t>
      </w:r>
      <w:r>
        <w:t xml:space="preserve">and</w:t>
      </w:r>
      <w:r>
        <w:t xml:space="preserve"> </w:t>
      </w:r>
      <m:oMath>
        <m:r>
          <m:t>β</m:t>
        </m:r>
      </m:oMath>
    </w:p>
    <w:p>
      <w:pPr>
        <w:pStyle w:val="BodyText"/>
      </w:pPr>
      <w:r>
        <w:t xml:space="preserve">This leads to a simple calculation of male Source2-related ancestry over total male ancestry,</w:t>
      </w:r>
      <w:r>
        <w:t xml:space="preserve"> </w:t>
      </w:r>
      <m:oMath>
        <m:r>
          <m:t>γ</m:t>
        </m:r>
      </m:oMath>
      <w:r>
        <w:t xml:space="preserve">:</w:t>
      </w:r>
    </w:p>
    <w:p>
      <w:pPr>
        <w:pStyle w:val="BodyText"/>
      </w:pPr>
      <m:oMathPara>
        <m:oMathParaPr>
          <m:jc m:val="center"/>
        </m:oMathParaPr>
        <m:oMath>
          <m:r>
            <m:t>γ</m:t>
          </m:r>
          <m:d>
            <m:dPr>
              <m:begChr m:val="("/>
              <m:endChr m:val=")"/>
              <m:sepChr m:val=""/>
              <m:grow/>
            </m:dPr>
            <m:e>
              <m:r>
                <m:t>α</m:t>
              </m:r>
              <m:r>
                <m:rPr>
                  <m:sty m:val="p"/>
                </m:rPr>
                <m:t>,</m:t>
              </m:r>
              <m:r>
                <m:t>β</m:t>
              </m:r>
            </m:e>
          </m:d>
          <m:r>
            <m:rPr>
              <m:sty m:val="p"/>
            </m:rPr>
            <m:t>=</m:t>
          </m:r>
          <m:f>
            <m:fPr>
              <m:type m:val="bar"/>
            </m:fPr>
            <m:num>
              <m:r>
                <m:t>β</m:t>
              </m:r>
              <m:r>
                <m:t>α</m:t>
              </m:r>
            </m:num>
            <m:den>
              <m:r>
                <m:t>β</m:t>
              </m:r>
              <m:r>
                <m:t>α</m:t>
              </m:r>
              <m:r>
                <m:rPr>
                  <m:sty m:val="p"/>
                </m:rPr>
                <m:t>+</m:t>
              </m:r>
              <m:d>
                <m:dPr>
                  <m:begChr m:val="("/>
                  <m:endChr m:val=")"/>
                  <m:sepChr m:val=""/>
                  <m:grow/>
                </m:dPr>
                <m:e>
                  <m:r>
                    <m:t>1</m:t>
                  </m:r>
                  <m:r>
                    <m:rPr>
                      <m:sty m:val="p"/>
                    </m:rPr>
                    <m:t>−</m:t>
                  </m:r>
                  <m:r>
                    <m:t>β</m:t>
                  </m:r>
                </m:e>
              </m:d>
              <m:d>
                <m:dPr>
                  <m:begChr m:val="("/>
                  <m:endChr m:val=")"/>
                  <m:sepChr m:val=""/>
                  <m:grow/>
                </m:dPr>
                <m:e>
                  <m:r>
                    <m:t>1</m:t>
                  </m:r>
                  <m:r>
                    <m:rPr>
                      <m:sty m:val="p"/>
                    </m:rPr>
                    <m:t>−</m:t>
                  </m:r>
                  <m:r>
                    <m:t>α</m:t>
                  </m:r>
                </m:e>
              </m:d>
            </m:den>
          </m:f>
        </m:oMath>
      </m:oMathPara>
    </w:p>
    <w:p>
      <w:pPr>
        <w:pStyle w:val="FirstParagraph"/>
      </w:pPr>
      <w:r>
        <w:t xml:space="preserve">We can visualize this model as follows:</w:t>
      </w:r>
    </w:p>
    <w:p>
      <w:pPr>
        <w:pStyle w:val="BodyText"/>
      </w:pP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9-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which shows that values of</w:t>
      </w:r>
      <w:r>
        <w:t xml:space="preserve"> </w:t>
      </w:r>
      <m:oMath>
        <m:r>
          <m:t>β</m:t>
        </m:r>
      </m:oMath>
      <w:r>
        <w:t xml:space="preserve"> </w:t>
      </w:r>
      <w:r>
        <w:t xml:space="preserve">different from 0.5 can increase or decrease the male admixture proportion and deviate the curve from a model without sex-bias (a straight line).</w:t>
      </w:r>
    </w:p>
    <w:p>
      <w:pPr>
        <w:pStyle w:val="BodyText"/>
      </w:pPr>
      <w:r>
        <w:t xml:space="preserve">In order to estimate</w:t>
      </w:r>
      <w:r>
        <w:t xml:space="preserve"> </w:t>
      </w:r>
      <m:oMath>
        <m:r>
          <m:t>β</m:t>
        </m:r>
      </m:oMath>
      <w:r>
        <w:t xml:space="preserve"> </w:t>
      </w:r>
      <w:r>
        <w:t xml:space="preserve">from the data, we our above derived individual-based likelihood model of a haplogroup coming from Source2. The likelihood for a single individual with haplogroup H and an autosomal admixture estimate</w:t>
      </w:r>
      <w:r>
        <w:t xml:space="preserve"> </w:t>
      </w:r>
      <m:oMath>
        <m:r>
          <m:t>α</m:t>
        </m:r>
      </m:oMath>
      <w:r>
        <w:t xml:space="preserve"> </w:t>
      </w:r>
      <w:r>
        <w:t xml:space="preserve">is</w:t>
      </w:r>
    </w:p>
    <w:p>
      <w:pPr>
        <w:pStyle w:val="BodyText"/>
      </w:pPr>
      <m:oMathPara>
        <m:oMathParaPr>
          <m:jc m:val="center"/>
        </m:oMathParaPr>
        <m:oMath>
          <m:r>
            <m:rPr>
              <m:sty m:val="p"/>
              <m:scr m:val="script"/>
            </m:rPr>
            <m:t>L</m:t>
          </m:r>
          <m:d>
            <m:dPr>
              <m:begChr m:val="("/>
              <m:endChr m:val=")"/>
              <m:sepChr m:val=""/>
              <m:grow/>
            </m:dPr>
            <m:e>
              <m:r>
                <m:t>H</m:t>
              </m:r>
              <m:r>
                <m:rPr>
                  <m:sty m:val="p"/>
                </m:rPr>
                <m:t>|</m:t>
              </m:r>
              <m:r>
                <m:t>α</m:t>
              </m:r>
              <m:r>
                <m:rPr>
                  <m:sty m:val="p"/>
                </m:rPr>
                <m:t>,</m:t>
              </m:r>
              <m:r>
                <m:t>β</m:t>
              </m:r>
              <m:r>
                <m:rPr>
                  <m:sty m:val="p"/>
                </m:rPr>
                <m:t>,</m:t>
              </m:r>
              <m:r>
                <m:rPr>
                  <m:sty m:val="b"/>
                </m:rPr>
                <m:t>N</m:t>
              </m:r>
            </m:e>
          </m:d>
          <m:r>
            <m:rPr>
              <m:sty m:val="p"/>
            </m:rPr>
            <m:t>=</m:t>
          </m:r>
          <m:r>
            <m:t>γ</m:t>
          </m:r>
          <m:d>
            <m:dPr>
              <m:begChr m:val="("/>
              <m:endChr m:val=")"/>
              <m:sepChr m:val=""/>
              <m:grow/>
            </m:dPr>
            <m:e>
              <m:r>
                <m:t>α</m:t>
              </m:r>
              <m:r>
                <m:rPr>
                  <m:sty m:val="p"/>
                </m:rPr>
                <m:t>,</m:t>
              </m:r>
              <m:r>
                <m:t>β</m:t>
              </m:r>
            </m:e>
          </m:d>
          <m:r>
            <m:t>p</m:t>
          </m:r>
          <m:d>
            <m:dPr>
              <m:begChr m:val="("/>
              <m:endChr m:val=")"/>
              <m:sepChr m:val=""/>
              <m:grow/>
            </m:dPr>
            <m:e>
              <m:r>
                <m:t>2</m:t>
              </m:r>
              <m:r>
                <m:rPr>
                  <m:sty m:val="p"/>
                </m:rPr>
                <m:t>|</m:t>
              </m:r>
              <m:r>
                <m:rPr>
                  <m:sty m:val="b"/>
                </m:rPr>
                <m:t>N</m:t>
              </m:r>
            </m:e>
          </m:d>
          <m:r>
            <m:rPr>
              <m:sty m:val="p"/>
            </m:rPr>
            <m:t>+</m:t>
          </m:r>
          <m:d>
            <m:dPr>
              <m:begChr m:val="("/>
              <m:endChr m:val=")"/>
              <m:sepChr m:val=""/>
              <m:grow/>
            </m:dPr>
            <m:e>
              <m:r>
                <m:t>1</m:t>
              </m:r>
              <m:r>
                <m:rPr>
                  <m:sty m:val="p"/>
                </m:rPr>
                <m:t>−</m:t>
              </m:r>
              <m:r>
                <m:t>γ</m:t>
              </m:r>
              <m:d>
                <m:dPr>
                  <m:begChr m:val="("/>
                  <m:endChr m:val=")"/>
                  <m:sepChr m:val=""/>
                  <m:grow/>
                </m:dPr>
                <m:e>
                  <m:r>
                    <m:t>α</m:t>
                  </m:r>
                  <m:r>
                    <m:rPr>
                      <m:sty m:val="p"/>
                    </m:rPr>
                    <m:t>,</m:t>
                  </m:r>
                  <m:r>
                    <m:t>β</m:t>
                  </m:r>
                </m:e>
              </m:d>
            </m:e>
          </m:d>
          <m:r>
            <m:t>p</m:t>
          </m:r>
          <m:d>
            <m:dPr>
              <m:begChr m:val="("/>
              <m:endChr m:val=")"/>
              <m:sepChr m:val=""/>
              <m:grow/>
            </m:dPr>
            <m:e>
              <m:r>
                <m:t>1</m:t>
              </m:r>
              <m:r>
                <m:rPr>
                  <m:sty m:val="p"/>
                </m:rPr>
                <m:t>|</m:t>
              </m:r>
              <m:r>
                <m:rPr>
                  <m:sty m:val="b"/>
                </m:rPr>
                <m:t>N</m:t>
              </m:r>
            </m:e>
          </m:d>
        </m:oMath>
      </m:oMathPara>
    </w:p>
    <w:p>
      <w:pPr>
        <w:pStyle w:val="FirstParagraph"/>
      </w:pPr>
      <w:r>
        <w:t xml:space="preserve">where we have used the individual-based posterior probability derived in equation</w:t>
      </w:r>
      <w:r>
        <w:t xml:space="preserve"> </w:t>
      </w:r>
      <w:r>
        <w:t xml:space="preserve">.</w:t>
      </w:r>
    </w:p>
    <w:p>
      <w:pPr>
        <w:pStyle w:val="BodyText"/>
      </w:pPr>
      <w:r>
        <w:t xml:space="preserve">We can now compute the log-likelihood as a sum over all male admixed individuals</w:t>
      </w:r>
    </w:p>
    <w:p>
      <w:pPr>
        <w:pStyle w:val="BodyText"/>
      </w:pPr>
      <m:oMathPara>
        <m:oMathParaPr>
          <m:jc m:val="center"/>
        </m:oMathParaPr>
        <m:oMath>
          <m:r>
            <m:rPr>
              <m:nor/>
              <m:sty m:val="p"/>
            </m:rPr>
            <m:t>log</m:t>
          </m:r>
          <m:r>
            <m:rPr>
              <m:sty m:val="p"/>
              <m:scr m:val="script"/>
            </m:rPr>
            <m:t>L</m:t>
          </m:r>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r>
            <m:rPr>
              <m:sty m:val="p"/>
            </m:rPr>
            <m:t>=</m:t>
          </m:r>
          <m:nary>
            <m:naryPr>
              <m:chr m:val="∑"/>
              <m:limLoc m:val="undOvr"/>
              <m:subHide m:val="0"/>
              <m:supHide m:val="1"/>
            </m:naryPr>
            <m:sub>
              <m:r>
                <m:t>k</m:t>
              </m:r>
            </m:sub>
            <m:sup>
              <m:r>
                <m:t>​</m:t>
              </m:r>
            </m:sup>
            <m:e>
              <m:r>
                <m:rPr>
                  <m:nor/>
                  <m:sty m:val="p"/>
                </m:rPr>
                <m:t>log</m:t>
              </m:r>
            </m:e>
          </m:nary>
          <m:r>
            <m:t>p</m:t>
          </m:r>
          <m:d>
            <m:dPr>
              <m:begChr m:val="("/>
              <m:endChr m:val=")"/>
              <m:sepChr m:val=""/>
              <m:grow/>
            </m:dPr>
            <m:e>
              <m:sSub>
                <m:e>
                  <m:r>
                    <m:t>H</m:t>
                  </m:r>
                </m:e>
                <m:sub>
                  <m:r>
                    <m:t>k</m:t>
                  </m:r>
                </m:sub>
              </m:sSub>
              <m:r>
                <m:rPr>
                  <m:sty m:val="p"/>
                </m:rPr>
                <m:t>|</m:t>
              </m:r>
              <m:sSub>
                <m:e>
                  <m:r>
                    <m:t>α</m:t>
                  </m:r>
                </m:e>
                <m:sub>
                  <m:r>
                    <m:t>k</m:t>
                  </m:r>
                </m:sub>
              </m:sSub>
              <m:r>
                <m:rPr>
                  <m:sty m:val="p"/>
                </m:rPr>
                <m:t>,</m:t>
              </m:r>
              <m:r>
                <m:t>β</m:t>
              </m:r>
              <m:r>
                <m:rPr>
                  <m:sty m:val="p"/>
                </m:rPr>
                <m:t>,</m:t>
              </m:r>
              <m:r>
                <m:rPr>
                  <m:sty m:val="b"/>
                </m:rPr>
                <m:t>N</m:t>
              </m:r>
            </m:e>
          </m:d>
        </m:oMath>
      </m:oMathPara>
    </w:p>
    <w:p>
      <w:pPr>
        <w:pStyle w:val="FirstParagraph"/>
      </w:pPr>
      <w:r>
        <w:t xml:space="preserve">where index</w:t>
      </w:r>
      <w:r>
        <w:t xml:space="preserve"> </w:t>
      </w:r>
      <m:oMath>
        <m:r>
          <m:t>k</m:t>
        </m:r>
      </m:oMath>
      <w:r>
        <w:t xml:space="preserve"> </w:t>
      </w:r>
      <w:r>
        <w:t xml:space="preserve">runs over all individuals with haplotype</w:t>
      </w:r>
      <w:r>
        <w:t xml:space="preserve"> </w:t>
      </w:r>
      <m:oMath>
        <m:sSub>
          <m:e>
            <m:r>
              <m:t>H</m:t>
            </m:r>
          </m:e>
          <m:sub>
            <m:r>
              <m:t>K</m:t>
            </m:r>
          </m:sub>
        </m:sSub>
      </m:oMath>
      <w:r>
        <w:t xml:space="preserve"> </w:t>
      </w:r>
      <w:r>
        <w:t xml:space="preserve">and autosomal admixture estimate</w:t>
      </w:r>
      <w:r>
        <w:t xml:space="preserve"> </w:t>
      </w:r>
      <m:oMath>
        <m:sSub>
          <m:e>
            <m:r>
              <m:t>α</m:t>
            </m:r>
          </m:e>
          <m:sub>
            <m:r>
              <m:t>k</m:t>
            </m:r>
          </m:sub>
        </m:sSub>
      </m:oMath>
      <w:r>
        <w:t xml:space="preserve">.</w:t>
      </w:r>
    </w:p>
    <w:p>
      <w:pPr>
        <w:pStyle w:val="BodyText"/>
      </w:pPr>
      <w:r>
        <w:t xml:space="preserve">We can estimate the maximum of that likelihood function under variation of</w:t>
      </w:r>
      <w:r>
        <w:t xml:space="preserve"> </w:t>
      </w:r>
      <m:oMath>
        <m:r>
          <m:t>β</m:t>
        </m:r>
      </m:oMath>
      <w:r>
        <w:t xml:space="preserve"> </w:t>
      </w:r>
      <w:r>
        <w:t xml:space="preserve">numerically, and find</w:t>
      </w:r>
    </w:p>
    <w:p>
      <w:pPr>
        <w:pStyle w:val="SourceCode"/>
      </w:pPr>
      <w:r>
        <w:rPr>
          <w:rStyle w:val="VerbatimChar"/>
        </w:rPr>
        <w:t xml:space="preserve">## $maximum</w:t>
      </w:r>
      <w:r>
        <w:br/>
      </w:r>
      <w:r>
        <w:rPr>
          <w:rStyle w:val="VerbatimChar"/>
        </w:rPr>
        <w:t xml:space="preserve">## [1] 0.7242914</w:t>
      </w:r>
      <w:r>
        <w:br/>
      </w:r>
      <w:r>
        <w:rPr>
          <w:rStyle w:val="VerbatimChar"/>
        </w:rPr>
        <w:t xml:space="preserve">## </w:t>
      </w:r>
      <w:r>
        <w:br/>
      </w:r>
      <w:r>
        <w:rPr>
          <w:rStyle w:val="VerbatimChar"/>
        </w:rPr>
        <w:t xml:space="preserve">## $objective</w:t>
      </w:r>
      <w:r>
        <w:br/>
      </w:r>
      <w:r>
        <w:rPr>
          <w:rStyle w:val="VerbatimChar"/>
        </w:rPr>
        <w:t xml:space="preserve">## [1] -20.51125</w:t>
      </w:r>
    </w:p>
    <w:p>
      <w:pPr>
        <w:pStyle w:val="FirstParagraph"/>
      </w:pPr>
      <w:r>
        <w:t xml:space="preserve">We can plot that model together with our frequency-based estimates:</w:t>
      </w:r>
    </w:p>
    <w:p>
      <w:pPr>
        <w:pStyle w:val="BodyText"/>
      </w:pP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1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So this would suggest a moderate male sex-bias in the CNE ancestry. But how significant is this? We can use our likelihood model to compute a posterior probability density over</w:t>
      </w:r>
      <w:r>
        <w:t xml:space="preserve"> </w:t>
      </w:r>
      <m:oMath>
        <m:r>
          <m:t>β</m:t>
        </m:r>
      </m:oMath>
      <w:r>
        <w:t xml:space="preserve">:</w:t>
      </w:r>
    </w:p>
    <w:p>
      <w:pPr>
        <w:pStyle w:val="BodyText"/>
      </w:pPr>
      <m:oMathPara>
        <m:oMathParaPr>
          <m:jc m:val="center"/>
        </m:oMathParaPr>
        <m:oMath>
          <m:r>
            <m:t>p</m:t>
          </m:r>
          <m:d>
            <m:dPr>
              <m:begChr m:val="("/>
              <m:endChr m:val=")"/>
              <m:sepChr m:val=""/>
              <m:grow/>
            </m:dPr>
            <m:e>
              <m:r>
                <m:t>β</m:t>
              </m:r>
              <m:r>
                <m:rPr>
                  <m:sty m:val="p"/>
                </m:rPr>
                <m:t>|</m:t>
              </m:r>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rPr>
                  <m:sty m:val="b"/>
                </m:rPr>
                <m:t>N</m:t>
              </m:r>
            </m:e>
          </m:d>
          <m:r>
            <m:rPr>
              <m:sty m:val="p"/>
            </m:rPr>
            <m:t>=</m:t>
          </m:r>
          <m:f>
            <m:fPr>
              <m:type m:val="bar"/>
            </m:fPr>
            <m:num>
              <m:r>
                <m:rPr>
                  <m:sty m:val="p"/>
                  <m:scr m:val="script"/>
                </m:rPr>
                <m:t>L</m:t>
              </m:r>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num>
            <m:den>
              <m:nary>
                <m:naryPr>
                  <m:chr m:val="∫"/>
                  <m:limLoc m:val="subSup"/>
                  <m:subHide m:val="0"/>
                  <m:supHide m:val="0"/>
                </m:naryPr>
                <m:sub>
                  <m:r>
                    <m:t>0</m:t>
                  </m:r>
                </m:sub>
                <m:sup>
                  <m:r>
                    <m:t>1</m:t>
                  </m:r>
                </m:sup>
                <m:e>
                  <m:r>
                    <m:rPr>
                      <m:sty m:val="p"/>
                      <m:scr m:val="script"/>
                    </m:rPr>
                    <m:t>L</m:t>
                  </m:r>
                </m:e>
              </m:nary>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r>
                <m:t>d</m:t>
              </m:r>
              <m:r>
                <m:t>β</m:t>
              </m:r>
            </m:den>
          </m:f>
        </m:oMath>
      </m:oMathPara>
    </w:p>
    <w:p>
      <w:pPr>
        <w:pStyle w:val="FirstParagraph"/>
      </w:pPr>
      <w:r>
        <w:t xml:space="preserve">where the integral in the denominator can be approximated using a mesh over</w:t>
      </w:r>
      <w:r>
        <w:t xml:space="preserve"> </w:t>
      </w:r>
      <m:oMath>
        <m:r>
          <m:t>β</m:t>
        </m:r>
      </m:oMath>
      <w:r>
        <w:t xml:space="preserve">, and we have implicitly taken a uniform prior for</w:t>
      </w:r>
      <w:r>
        <w:t xml:space="preserve"> </w:t>
      </w:r>
      <m:oMath>
        <m:r>
          <m:t>β</m:t>
        </m:r>
      </m:oMath>
      <w:r>
        <w:t xml:space="preserve"> </w:t>
      </w:r>
      <w:r>
        <w:t xml:space="preserve">over the interval from 0 to 1:</w:t>
      </w:r>
    </w:p>
    <w:p>
      <w:pPr>
        <w:pStyle w:val="BodyText"/>
      </w:pP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We can now see that the posterior distribution for</w:t>
      </w:r>
      <w:r>
        <w:t xml:space="preserve"> </w:t>
      </w:r>
      <m:oMath>
        <m:r>
          <m:t>β</m:t>
        </m:r>
      </m:oMath>
      <w:r>
        <w:t xml:space="preserve"> </w:t>
      </w:r>
      <w:r>
        <w:t xml:space="preserve">comfortably includes the value</w:t>
      </w:r>
      <w:r>
        <w:t xml:space="preserve"> </w:t>
      </w:r>
      <m:oMath>
        <m:r>
          <m:t>β</m:t>
        </m:r>
        <m:r>
          <m:rPr>
            <m:sty m:val="p"/>
          </m:rPr>
          <m:t>=</m:t>
        </m:r>
        <m:r>
          <m:t>0.5</m:t>
        </m:r>
      </m:oMath>
      <w:r>
        <w:t xml:space="preserve">, which means that the 95% credibility interval includes values below and above 0.5, suggesting models of male as well as female sex-bias being consistent with the data. We conclude that the Y haplotype data is not conclusive with respect to sex bias.</w:t>
      </w:r>
    </w:p>
    <w:bookmarkEnd w:id="25"/>
    <w:bookmarkStart w:id="29" w:name="mitochondrial-haplogroups"/>
    <w:p>
      <w:pPr>
        <w:pStyle w:val="Heading1"/>
      </w:pPr>
      <w:r>
        <w:t xml:space="preserve">Mitochondrial haplogroups</w:t>
      </w:r>
    </w:p>
    <w:p>
      <w:pPr>
        <w:pStyle w:val="FirstParagraph"/>
      </w:pPr>
      <w:r>
        <w:t xml:space="preserve">We can apply the same methodology to mitochondrial haplotypes, with the main difference being the interpretation of</w:t>
      </w:r>
      <w:r>
        <w:t xml:space="preserve"> </w:t>
      </w:r>
      <m:oMath>
        <m:r>
          <m:t>γ</m:t>
        </m:r>
        <m:d>
          <m:dPr>
            <m:begChr m:val="("/>
            <m:endChr m:val=")"/>
            <m:sepChr m:val=""/>
            <m:grow/>
          </m:dPr>
          <m:e>
            <m:r>
              <m:t>α</m:t>
            </m:r>
            <m:r>
              <m:rPr>
                <m:sty m:val="p"/>
              </m:rPr>
              <m:t>,</m:t>
            </m:r>
            <m:r>
              <m:t>β</m:t>
            </m:r>
          </m:e>
        </m:d>
      </m:oMath>
      <w:r>
        <w:t xml:space="preserve"> </w:t>
      </w:r>
      <w:r>
        <w:t xml:space="preserve">now describing the proportion of</w:t>
      </w:r>
      <w:r>
        <w:t xml:space="preserve"> </w:t>
      </w:r>
      <w:r>
        <w:rPr>
          <w:iCs/>
          <w:i/>
        </w:rPr>
        <w:t xml:space="preserve">female</w:t>
      </w:r>
      <w:r>
        <w:t xml:space="preserve"> </w:t>
      </w:r>
      <w:r>
        <w:t xml:space="preserve">Source2 ancestry over total female ancestry.</w:t>
      </w:r>
    </w:p>
    <w:p>
      <w:pPr>
        <w:pStyle w:val="BodyText"/>
      </w:pPr>
      <w:r>
        <w:t xml:space="preserve">We get a similar table of posterior probabilitites for every MT haplogroup coming from source 2:</w:t>
      </w:r>
    </w:p>
    <w:p>
      <w:pPr>
        <w:pStyle w:val="SourceCode"/>
      </w:pPr>
      <w:r>
        <w:rPr>
          <w:rStyle w:val="VerbatimChar"/>
        </w:rPr>
        <w:t xml:space="preserve">## # A tibble: 12 × 4</w:t>
      </w:r>
      <w:r>
        <w:br/>
      </w:r>
      <w:r>
        <w:rPr>
          <w:rStyle w:val="VerbatimChar"/>
        </w:rPr>
        <w:t xml:space="preserve">##    mtDNA_simple    n1    n2 source2_prob</w:t>
      </w:r>
      <w:r>
        <w:br/>
      </w:r>
      <w:r>
        <w:rPr>
          <w:rStyle w:val="VerbatimChar"/>
        </w:rPr>
        <w:t xml:space="preserve">##    &lt;chr&gt;        &lt;int&gt; &lt;int&gt;        &lt;dbl&gt;</w:t>
      </w:r>
      <w:r>
        <w:br/>
      </w:r>
      <w:r>
        <w:rPr>
          <w:rStyle w:val="VerbatimChar"/>
        </w:rPr>
        <w:t xml:space="preserve">##  1 H              206   134        0.484</w:t>
      </w:r>
      <w:r>
        <w:br/>
      </w:r>
      <w:r>
        <w:rPr>
          <w:rStyle w:val="VerbatimChar"/>
        </w:rPr>
        <w:t xml:space="preserve">##  2 HV               5     9        0.705</w:t>
      </w:r>
      <w:r>
        <w:br/>
      </w:r>
      <w:r>
        <w:rPr>
          <w:rStyle w:val="VerbatimChar"/>
        </w:rPr>
        <w:t xml:space="preserve">##  3 I               11     8        0.519</w:t>
      </w:r>
      <w:r>
        <w:br/>
      </w:r>
      <w:r>
        <w:rPr>
          <w:rStyle w:val="VerbatimChar"/>
        </w:rPr>
        <w:t xml:space="preserve">##  4 J               52    47        0.565</w:t>
      </w:r>
      <w:r>
        <w:br/>
      </w:r>
      <w:r>
        <w:rPr>
          <w:rStyle w:val="VerbatimChar"/>
        </w:rPr>
        <w:t xml:space="preserve">##  5 K               66    35        0.436</w:t>
      </w:r>
      <w:r>
        <w:br/>
      </w:r>
      <w:r>
        <w:rPr>
          <w:rStyle w:val="VerbatimChar"/>
        </w:rPr>
        <w:t xml:space="preserve">##  6 N                2     1        0.489</w:t>
      </w:r>
      <w:r>
        <w:br/>
      </w:r>
      <w:r>
        <w:rPr>
          <w:rStyle w:val="VerbatimChar"/>
        </w:rPr>
        <w:t xml:space="preserve">##  7 R                7     1        0.264</w:t>
      </w:r>
      <w:r>
        <w:br/>
      </w:r>
      <w:r>
        <w:rPr>
          <w:rStyle w:val="VerbatimChar"/>
        </w:rPr>
        <w:t xml:space="preserve">##  8 T               54    41        0.523</w:t>
      </w:r>
      <w:r>
        <w:br/>
      </w:r>
      <w:r>
        <w:rPr>
          <w:rStyle w:val="VerbatimChar"/>
        </w:rPr>
        <w:t xml:space="preserve">##  9 U               91    55        0.466</w:t>
      </w:r>
      <w:r>
        <w:br/>
      </w:r>
      <w:r>
        <w:rPr>
          <w:rStyle w:val="VerbatimChar"/>
        </w:rPr>
        <w:t xml:space="preserve">## 10 V               18    11        0.476</w:t>
      </w:r>
      <w:r>
        <w:br/>
      </w:r>
      <w:r>
        <w:rPr>
          <w:rStyle w:val="VerbatimChar"/>
        </w:rPr>
        <w:t xml:space="preserve">## 11 W                7     4        0.473</w:t>
      </w:r>
      <w:r>
        <w:br/>
      </w:r>
      <w:r>
        <w:rPr>
          <w:rStyle w:val="VerbatimChar"/>
        </w:rPr>
        <w:t xml:space="preserve">## 12 X               11     5        0.418</w:t>
      </w:r>
    </w:p>
    <w:p>
      <w:pPr>
        <w:pStyle w:val="FirstParagraph"/>
      </w:pPr>
      <w:r>
        <w:t xml:space="preserve">which for our admixed individuals can be visualised again:</w:t>
      </w:r>
      <w:r>
        <w:t xml:space="preserve"> </w:t>
      </w: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1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but with all probabilities around 50%, the MT data conveys almost no information at all about source origin, since haplogroup frequencies are too similar in the two source populations.</w:t>
      </w:r>
    </w:p>
    <w:p>
      <w:pPr>
        <w:pStyle w:val="BodyText"/>
      </w:pPr>
      <w:r>
        <w:t xml:space="preserve">Indeed, the posterior distribution of</w:t>
      </w:r>
      <w:r>
        <w:t xml:space="preserve"> </w:t>
      </w:r>
      <m:oMath>
        <m:r>
          <m:t>β</m:t>
        </m:r>
      </m:oMath>
      <w:r>
        <w:t xml:space="preserve"> </w:t>
      </w:r>
      <w:r>
        <w:t xml:space="preserve">in this case yields:</w:t>
      </w:r>
      <w:r>
        <w:t xml:space="preserve"> </w:t>
      </w: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1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which is even broader than the already insignificant results from the Y chromosomal haplogroups, again showing that the data is consistent with models of both female and male sex-bias.</w:t>
      </w:r>
    </w:p>
    <w:p>
      <w:pPr>
        <w:pStyle w:val="BodyText"/>
      </w:pPr>
      <w:r>
        <w:t xml:space="preserve">Note: The code used here can be found at</w:t>
      </w:r>
      <w:r>
        <w:t xml:space="preserve"> </w:t>
      </w:r>
      <w:hyperlink r:id="rId28">
        <w:r>
          <w:rPr>
            <w:rStyle w:val="Hyperlink"/>
          </w:rPr>
          <w:t xml:space="preserve">https://github.com/stschiff/AngloSaxon_Y-chrom_sex-bias</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jpg" /><Relationship Type="http://schemas.openxmlformats.org/officeDocument/2006/relationships/hyperlink" Id="rId28" Target="https://github.com/stschiff/AngloSaxon_Y-chrom_sex-bias"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stschiff/AngloSaxon_Y-chrom_sex-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sex-biased ancestry from uniparental markers in the presence of variable admixture proportions</dc:title>
  <dc:creator/>
  <cp:keywords/>
  <dcterms:created xsi:type="dcterms:W3CDTF">2022-04-13T10:57:07Z</dcterms:created>
  <dcterms:modified xsi:type="dcterms:W3CDTF">2022-04-13T10:57:07Z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