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462"/>
        <w:gridCol w:w="1916"/>
        <w:gridCol w:w="890"/>
        <w:gridCol w:w="6655"/>
      </w:tblGrid>
      <w:tr w:rsidR="00EF4633" w:rsidTr="00EF4633">
        <w:tc>
          <w:tcPr>
            <w:tcW w:w="462" w:type="dxa"/>
          </w:tcPr>
          <w:p w:rsidR="00EF4633" w:rsidRDefault="00EF4633" w:rsidP="00D8005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1916" w:type="dxa"/>
          </w:tcPr>
          <w:p w:rsidR="00EF4633" w:rsidRDefault="00EF4633" w:rsidP="00D8005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Раздел</w:t>
            </w:r>
          </w:p>
        </w:tc>
        <w:tc>
          <w:tcPr>
            <w:tcW w:w="890" w:type="dxa"/>
          </w:tcPr>
          <w:p w:rsidR="00EF4633" w:rsidRDefault="00EF4633" w:rsidP="00D8005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Кол-во часов</w:t>
            </w:r>
          </w:p>
        </w:tc>
        <w:tc>
          <w:tcPr>
            <w:tcW w:w="6655" w:type="dxa"/>
          </w:tcPr>
          <w:p w:rsidR="00EF4633" w:rsidRDefault="00EF4633" w:rsidP="00D8005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Содержание</w:t>
            </w:r>
          </w:p>
        </w:tc>
      </w:tr>
      <w:tr w:rsidR="00EF4633" w:rsidTr="00EF4633">
        <w:tc>
          <w:tcPr>
            <w:tcW w:w="462" w:type="dxa"/>
          </w:tcPr>
          <w:p w:rsidR="00EF4633" w:rsidRPr="00D8005D" w:rsidRDefault="00EF4633" w:rsidP="00D8005D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1916" w:type="dxa"/>
          </w:tcPr>
          <w:p w:rsidR="00EF4633" w:rsidRDefault="00EF4633">
            <w:pPr>
              <w:rPr>
                <w:lang w:val="ru-RU"/>
              </w:rPr>
            </w:pPr>
            <w:r>
              <w:rPr>
                <w:lang w:val="ru-RU"/>
              </w:rPr>
              <w:t>Анализ предметной области</w:t>
            </w:r>
          </w:p>
        </w:tc>
        <w:tc>
          <w:tcPr>
            <w:tcW w:w="890" w:type="dxa"/>
          </w:tcPr>
          <w:p w:rsidR="00EF4633" w:rsidRDefault="00EF463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6655" w:type="dxa"/>
          </w:tcPr>
          <w:p w:rsidR="00EF4633" w:rsidRDefault="00EF4633">
            <w:pPr>
              <w:rPr>
                <w:lang w:val="ru-RU"/>
              </w:rPr>
            </w:pPr>
            <w:r>
              <w:rPr>
                <w:lang w:val="ru-RU"/>
              </w:rPr>
              <w:t>Предварительное исследование и выбор предметной области. Проведение поверхностного анализа предметной области.</w:t>
            </w:r>
          </w:p>
        </w:tc>
      </w:tr>
      <w:tr w:rsidR="00EF4633" w:rsidTr="00EF4633">
        <w:tc>
          <w:tcPr>
            <w:tcW w:w="462" w:type="dxa"/>
          </w:tcPr>
          <w:p w:rsidR="00EF4633" w:rsidRPr="00D8005D" w:rsidRDefault="00EF4633" w:rsidP="00D8005D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1916" w:type="dxa"/>
          </w:tcPr>
          <w:p w:rsidR="00EF4633" w:rsidRDefault="00EF4633">
            <w:pPr>
              <w:rPr>
                <w:lang w:val="ru-RU"/>
              </w:rPr>
            </w:pPr>
            <w:r>
              <w:rPr>
                <w:lang w:val="ru-RU"/>
              </w:rPr>
              <w:t>Анализ выбранного предприятия</w:t>
            </w:r>
          </w:p>
        </w:tc>
        <w:tc>
          <w:tcPr>
            <w:tcW w:w="890" w:type="dxa"/>
          </w:tcPr>
          <w:p w:rsidR="00EF4633" w:rsidRDefault="00EF463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655" w:type="dxa"/>
          </w:tcPr>
          <w:p w:rsidR="00EF4633" w:rsidRDefault="00EF4633">
            <w:pPr>
              <w:rPr>
                <w:lang w:val="ru-RU"/>
              </w:rPr>
            </w:pPr>
            <w:r>
              <w:rPr>
                <w:lang w:val="ru-RU"/>
              </w:rPr>
              <w:t>Анализ предметной области исследования и организация проведения выбора исходных данных для проектирования.</w:t>
            </w:r>
          </w:p>
        </w:tc>
      </w:tr>
      <w:tr w:rsidR="00EF4633" w:rsidTr="00EF4633">
        <w:tc>
          <w:tcPr>
            <w:tcW w:w="462" w:type="dxa"/>
          </w:tcPr>
          <w:p w:rsidR="00EF4633" w:rsidRPr="00D8005D" w:rsidRDefault="00EF4633" w:rsidP="00D8005D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1916" w:type="dxa"/>
          </w:tcPr>
          <w:p w:rsidR="00EF4633" w:rsidRDefault="00EF4633">
            <w:pPr>
              <w:rPr>
                <w:lang w:val="ru-RU"/>
              </w:rPr>
            </w:pPr>
            <w:r>
              <w:rPr>
                <w:lang w:val="ru-RU"/>
              </w:rPr>
              <w:t>Описание бизнес-процесса предприятия</w:t>
            </w:r>
          </w:p>
        </w:tc>
        <w:tc>
          <w:tcPr>
            <w:tcW w:w="890" w:type="dxa"/>
          </w:tcPr>
          <w:p w:rsidR="00EF4633" w:rsidRDefault="00EF463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655" w:type="dxa"/>
          </w:tcPr>
          <w:p w:rsidR="00EF4633" w:rsidRDefault="00EF4633">
            <w:pPr>
              <w:rPr>
                <w:lang w:val="ru-RU"/>
              </w:rPr>
            </w:pPr>
            <w:r>
              <w:rPr>
                <w:lang w:val="ru-RU"/>
              </w:rPr>
              <w:t>Понятие бизнес-процесса. Модель описания бизнес-процессов. Понятие реинжиниринга бизнес-процессов. Принципы реинжиниринга компании.</w:t>
            </w:r>
          </w:p>
        </w:tc>
      </w:tr>
      <w:tr w:rsidR="00EF4633" w:rsidTr="00EF4633">
        <w:tc>
          <w:tcPr>
            <w:tcW w:w="462" w:type="dxa"/>
          </w:tcPr>
          <w:p w:rsidR="00EF4633" w:rsidRPr="00D8005D" w:rsidRDefault="00EF4633" w:rsidP="00D8005D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1916" w:type="dxa"/>
          </w:tcPr>
          <w:p w:rsidR="00EF4633" w:rsidRDefault="00EF4633">
            <w:pPr>
              <w:rPr>
                <w:lang w:val="ru-RU"/>
              </w:rPr>
            </w:pPr>
            <w:r>
              <w:rPr>
                <w:lang w:val="ru-RU"/>
              </w:rPr>
              <w:t>Верстка бизнес-архитектуры ИС</w:t>
            </w:r>
          </w:p>
        </w:tc>
        <w:tc>
          <w:tcPr>
            <w:tcW w:w="890" w:type="dxa"/>
          </w:tcPr>
          <w:p w:rsidR="00EF4633" w:rsidRDefault="00EF463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6655" w:type="dxa"/>
          </w:tcPr>
          <w:p w:rsidR="00EF4633" w:rsidRDefault="00EF4633">
            <w:pPr>
              <w:rPr>
                <w:lang w:val="ru-RU"/>
              </w:rPr>
            </w:pPr>
            <w:r>
              <w:rPr>
                <w:lang w:val="ru-RU"/>
              </w:rPr>
              <w:t xml:space="preserve">Формирование бизнес-процесса и модели описания. Модель «как есть» и «как будет». Методология и инструментальные средства моделирования бизнес-процессов. </w:t>
            </w:r>
          </w:p>
        </w:tc>
      </w:tr>
      <w:tr w:rsidR="00EF4633" w:rsidTr="00EF4633">
        <w:tc>
          <w:tcPr>
            <w:tcW w:w="462" w:type="dxa"/>
          </w:tcPr>
          <w:p w:rsidR="00EF4633" w:rsidRPr="00D8005D" w:rsidRDefault="00EF4633" w:rsidP="00D8005D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1916" w:type="dxa"/>
          </w:tcPr>
          <w:p w:rsidR="00EF4633" w:rsidRDefault="00EF4633">
            <w:pPr>
              <w:rPr>
                <w:lang w:val="ru-RU"/>
              </w:rPr>
            </w:pPr>
            <w:r>
              <w:rPr>
                <w:lang w:val="ru-RU"/>
              </w:rPr>
              <w:t>Технологическая архитектура ИС</w:t>
            </w:r>
          </w:p>
        </w:tc>
        <w:tc>
          <w:tcPr>
            <w:tcW w:w="890" w:type="dxa"/>
          </w:tcPr>
          <w:p w:rsidR="00EF4633" w:rsidRDefault="00EF463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6655" w:type="dxa"/>
          </w:tcPr>
          <w:p w:rsidR="00EF4633" w:rsidRDefault="00EF4633">
            <w:pPr>
              <w:rPr>
                <w:lang w:val="ru-RU"/>
              </w:rPr>
            </w:pPr>
            <w:r>
              <w:rPr>
                <w:lang w:val="ru-RU"/>
              </w:rPr>
              <w:t>Основные элементы технологической архитектуры. Способы выбора и оценки реализации информационных систем и устройств (программно-, аппаратно- и программно-аппаратно-) для решения поставленной задачи. Организация сборки информационной системы из готовых компонентов. Стандарты и шаблоны описания технологической архитектуры информационных систем.</w:t>
            </w:r>
          </w:p>
        </w:tc>
      </w:tr>
      <w:tr w:rsidR="00EF4633" w:rsidTr="00EF4633">
        <w:tc>
          <w:tcPr>
            <w:tcW w:w="462" w:type="dxa"/>
          </w:tcPr>
          <w:p w:rsidR="00EF4633" w:rsidRPr="00D8005D" w:rsidRDefault="00EF4633" w:rsidP="00D8005D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1916" w:type="dxa"/>
          </w:tcPr>
          <w:p w:rsidR="00EF4633" w:rsidRDefault="00EF4633">
            <w:pPr>
              <w:rPr>
                <w:lang w:val="ru-RU"/>
              </w:rPr>
            </w:pPr>
            <w:r>
              <w:rPr>
                <w:lang w:val="ru-RU"/>
              </w:rPr>
              <w:t>Выполнение предпроектного обследования</w:t>
            </w:r>
          </w:p>
        </w:tc>
        <w:tc>
          <w:tcPr>
            <w:tcW w:w="890" w:type="dxa"/>
          </w:tcPr>
          <w:p w:rsidR="00EF4633" w:rsidRDefault="00EF463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6655" w:type="dxa"/>
          </w:tcPr>
          <w:p w:rsidR="00EF4633" w:rsidRDefault="00EF4633">
            <w:pPr>
              <w:rPr>
                <w:lang w:val="ru-RU"/>
              </w:rPr>
            </w:pPr>
            <w:r>
              <w:rPr>
                <w:lang w:val="ru-RU"/>
              </w:rPr>
              <w:t>Проведение предпроектного обследования выбранного предприятия для внедрения ИС.</w:t>
            </w:r>
          </w:p>
        </w:tc>
      </w:tr>
      <w:tr w:rsidR="00EF4633" w:rsidTr="00EF4633">
        <w:tc>
          <w:tcPr>
            <w:tcW w:w="462" w:type="dxa"/>
          </w:tcPr>
          <w:p w:rsidR="00EF4633" w:rsidRPr="00D8005D" w:rsidRDefault="00EF4633" w:rsidP="00D8005D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1916" w:type="dxa"/>
          </w:tcPr>
          <w:p w:rsidR="00EF4633" w:rsidRDefault="00EF4633">
            <w:pPr>
              <w:rPr>
                <w:lang w:val="ru-RU"/>
              </w:rPr>
            </w:pPr>
            <w:r>
              <w:rPr>
                <w:lang w:val="ru-RU"/>
              </w:rPr>
              <w:t>Формирование пояснительной записки к ИС</w:t>
            </w:r>
          </w:p>
        </w:tc>
        <w:tc>
          <w:tcPr>
            <w:tcW w:w="890" w:type="dxa"/>
          </w:tcPr>
          <w:p w:rsidR="00EF4633" w:rsidRDefault="00EF463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655" w:type="dxa"/>
          </w:tcPr>
          <w:p w:rsidR="00EF4633" w:rsidRDefault="00EF4633">
            <w:pPr>
              <w:rPr>
                <w:lang w:val="ru-RU"/>
              </w:rPr>
            </w:pPr>
            <w:r>
              <w:rPr>
                <w:lang w:val="ru-RU"/>
              </w:rPr>
              <w:t>Формирование пояснительной записки на разработку ИС в рамках проведенного предпроектного обследования</w:t>
            </w:r>
          </w:p>
        </w:tc>
      </w:tr>
      <w:tr w:rsidR="00EF4633" w:rsidTr="00EF4633">
        <w:tc>
          <w:tcPr>
            <w:tcW w:w="462" w:type="dxa"/>
          </w:tcPr>
          <w:p w:rsidR="00EF4633" w:rsidRPr="00D8005D" w:rsidRDefault="00EF4633" w:rsidP="00D8005D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1916" w:type="dxa"/>
          </w:tcPr>
          <w:p w:rsidR="00EF4633" w:rsidRDefault="00EF4633">
            <w:pPr>
              <w:rPr>
                <w:lang w:val="ru-RU"/>
              </w:rPr>
            </w:pPr>
            <w:r>
              <w:rPr>
                <w:lang w:val="ru-RU"/>
              </w:rPr>
              <w:t>Формирование технического задания ИС</w:t>
            </w:r>
          </w:p>
        </w:tc>
        <w:tc>
          <w:tcPr>
            <w:tcW w:w="890" w:type="dxa"/>
          </w:tcPr>
          <w:p w:rsidR="00EF4633" w:rsidRDefault="00EF463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6655" w:type="dxa"/>
          </w:tcPr>
          <w:p w:rsidR="00EF4633" w:rsidRDefault="00EF4633">
            <w:pPr>
              <w:rPr>
                <w:lang w:val="ru-RU"/>
              </w:rPr>
            </w:pPr>
            <w:r>
              <w:rPr>
                <w:lang w:val="ru-RU"/>
              </w:rPr>
              <w:t>Разработка и формирование технического задания разработки ИС</w:t>
            </w:r>
          </w:p>
        </w:tc>
      </w:tr>
      <w:tr w:rsidR="00EF4633" w:rsidTr="00EF4633">
        <w:tc>
          <w:tcPr>
            <w:tcW w:w="462" w:type="dxa"/>
          </w:tcPr>
          <w:p w:rsidR="00EF4633" w:rsidRPr="00D8005D" w:rsidRDefault="00EF4633" w:rsidP="00D8005D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1916" w:type="dxa"/>
          </w:tcPr>
          <w:p w:rsidR="00EF4633" w:rsidRDefault="00EF4633">
            <w:pPr>
              <w:rPr>
                <w:lang w:val="ru-RU"/>
              </w:rPr>
            </w:pPr>
            <w:r>
              <w:rPr>
                <w:lang w:val="ru-RU"/>
              </w:rPr>
              <w:t>Архитектура приложений</w:t>
            </w:r>
          </w:p>
        </w:tc>
        <w:tc>
          <w:tcPr>
            <w:tcW w:w="890" w:type="dxa"/>
          </w:tcPr>
          <w:p w:rsidR="00EF4633" w:rsidRDefault="00EF463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655" w:type="dxa"/>
          </w:tcPr>
          <w:p w:rsidR="00EF4633" w:rsidRDefault="00EF4633">
            <w:pPr>
              <w:rPr>
                <w:lang w:val="ru-RU"/>
              </w:rPr>
            </w:pPr>
            <w:r>
              <w:rPr>
                <w:lang w:val="ru-RU"/>
              </w:rPr>
              <w:t xml:space="preserve">Способы документирования приложений. Требования ГОСТ для алгоритмов функционирования информационных систем. </w:t>
            </w:r>
          </w:p>
        </w:tc>
      </w:tr>
      <w:tr w:rsidR="00EF4633" w:rsidTr="00EF4633">
        <w:tc>
          <w:tcPr>
            <w:tcW w:w="462" w:type="dxa"/>
          </w:tcPr>
          <w:p w:rsidR="00EF4633" w:rsidRPr="00D8005D" w:rsidRDefault="00EF4633" w:rsidP="00D8005D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1916" w:type="dxa"/>
          </w:tcPr>
          <w:p w:rsidR="00EF4633" w:rsidRDefault="00EF4633">
            <w:pPr>
              <w:rPr>
                <w:lang w:val="ru-RU"/>
              </w:rPr>
            </w:pPr>
            <w:r>
              <w:rPr>
                <w:lang w:val="ru-RU"/>
              </w:rPr>
              <w:t>Эффективное использование инвестиции при разработке ИС</w:t>
            </w:r>
          </w:p>
        </w:tc>
        <w:tc>
          <w:tcPr>
            <w:tcW w:w="890" w:type="dxa"/>
          </w:tcPr>
          <w:p w:rsidR="00EF4633" w:rsidRDefault="00EF463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655" w:type="dxa"/>
          </w:tcPr>
          <w:p w:rsidR="00EF4633" w:rsidRDefault="00EF4633">
            <w:pPr>
              <w:rPr>
                <w:lang w:val="ru-RU"/>
              </w:rPr>
            </w:pPr>
            <w:r>
              <w:rPr>
                <w:lang w:val="ru-RU"/>
              </w:rPr>
              <w:t>Эффективность в работах по доводке и освоению информационных технологий в ходе внедрения и эксплуатации информационных систем.</w:t>
            </w:r>
            <w:r>
              <w:rPr>
                <w:lang w:val="ru-RU"/>
              </w:rPr>
              <w:t xml:space="preserve"> Элементы и методы управления и контроля разработкой ИС, анализ затрат, качественные и количественные критерии «хорошей» архитектуры. Методы оценки эффективности инвестиций от внедрения ИТ-проекта ИС.</w:t>
            </w:r>
          </w:p>
        </w:tc>
      </w:tr>
    </w:tbl>
    <w:p w:rsidR="002B7F47" w:rsidRPr="00D8005D" w:rsidRDefault="002B7F47">
      <w:pPr>
        <w:rPr>
          <w:lang w:val="ru-RU"/>
        </w:rPr>
      </w:pPr>
    </w:p>
    <w:sectPr w:rsidR="002B7F47" w:rsidRPr="00D80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F09B0"/>
    <w:multiLevelType w:val="hybridMultilevel"/>
    <w:tmpl w:val="AA68FB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260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5D"/>
    <w:rsid w:val="002B7F47"/>
    <w:rsid w:val="0040777B"/>
    <w:rsid w:val="00AD32FA"/>
    <w:rsid w:val="00B75EE3"/>
    <w:rsid w:val="00D8005D"/>
    <w:rsid w:val="00EF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1DE767"/>
  <w15:chartTrackingRefBased/>
  <w15:docId w15:val="{D3400E2A-FA1E-8F45-80FF-DDB24649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2023-02-09T05:55:00Z</dcterms:created>
  <dcterms:modified xsi:type="dcterms:W3CDTF">2023-02-09T06:22:00Z</dcterms:modified>
</cp:coreProperties>
</file>