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pStyle w:val="Heading1"/>
        <w:spacing w:line="360" w:after="200"/>
        <w:jc w:val="center"/>
      </w:pPr>
      <w:r>
        <w:t xml:space="preserve">Privacy Compliance Assessment</w:t>
      </w:r>
    </w:p>
    <w:p>
      <w:pPr>
        <w:spacing w:after="400"/>
        <w:jc w:val="center"/>
      </w:pPr>
      <w:r>
        <w:t xml:space="preserve">Australian Privacy Act (APPs) &amp; EU General Data Protection Regulation (GDPR)</w:t>
      </w:r>
    </w:p>
    <w:p/>
    <w:p>
      <w:pPr>
        <w:spacing w:after="50"/>
        <w:jc w:val="center"/>
      </w:pPr>
      <w:r>
        <w:t xml:space="preserve">Cross Care Group</w:t>
      </w:r>
    </w:p>
    <w:p>
      <w:pPr>
        <w:spacing w:after="400"/>
        <w:jc w:val="center"/>
      </w:pPr>
      <w:r>
        <w:t xml:space="preserve">crosscaregroup.com.au</w:t>
      </w:r>
    </w:p>
    <w:p/>
    <w:p/>
    <w:p>
      <w:pPr>
        <w:spacing w:after="200"/>
        <w:jc w:val="center"/>
      </w:pPr>
      <w:r>
        <w:t xml:space="preserve">16 February 2026</w:t>
      </w:r>
    </w:p>
    <w:p/>
    <w:p>
      <w:pPr>
        <w:spacing w:after="100"/>
        <w:jc w:val="center"/>
      </w:pPr>
      <w:r>
        <w:t xml:space="preserve">CONFIDENTIAL</w:t>
      </w:r>
    </w:p>
    <w:r>
      <w:br w:type="page"/>
    </w:r>
    <w:p>
      <w:pPr>
        <w:pStyle w:val="Heading2"/>
        <w:spacing w:line="360" w:before="400" w:after="200"/>
      </w:pPr>
      <w:r>
        <w:t xml:space="preserve">TABLE OF CONTENTS</w:t>
      </w:r>
    </w:p>
    <w:p>
      <w:pPr>
        <w:pStyle w:val="ListParagraph"/>
        <w:numPr>
          <w:ilvl w:val="0"/>
          <w:numId w:val="1"/>
        </w:numPr>
        <w:spacing w:line="360" w:after="80"/>
      </w:pPr>
      <w:r>
        <w:t xml:space="preserve">Executive Summary</w:t>
      </w:r>
    </w:p>
    <w:p>
      <w:pPr>
        <w:pStyle w:val="ListParagraph"/>
        <w:numPr>
          <w:ilvl w:val="0"/>
          <w:numId w:val="1"/>
        </w:numPr>
        <w:spacing w:line="360" w:after="80"/>
      </w:pPr>
      <w:r>
        <w:t xml:space="preserve">Scope and Methodology</w:t>
      </w:r>
    </w:p>
    <w:p>
      <w:pPr>
        <w:pStyle w:val="ListParagraph"/>
        <w:numPr>
          <w:ilvl w:val="0"/>
          <w:numId w:val="1"/>
        </w:numPr>
        <w:spacing w:line="360" w:after="80"/>
      </w:pPr>
      <w:r>
        <w:t xml:space="preserve">Australian Privacy Act (APPs) Findings</w:t>
      </w:r>
    </w:p>
    <w:p>
      <w:pPr>
        <w:pStyle w:val="ListParagraph"/>
        <w:numPr>
          <w:ilvl w:val="0"/>
          <w:numId w:val="1"/>
        </w:numPr>
        <w:spacing w:line="360" w:after="80"/>
      </w:pPr>
      <w:r>
        <w:t xml:space="preserve">GDPR Findings</w:t>
      </w:r>
    </w:p>
    <w:p>
      <w:pPr>
        <w:pStyle w:val="ListParagraph"/>
        <w:numPr>
          <w:ilvl w:val="0"/>
          <w:numId w:val="1"/>
        </w:numPr>
        <w:spacing w:line="360" w:after="80"/>
      </w:pPr>
      <w:r>
        <w:t xml:space="preserve">High-Priority Issues (Critical Violations)</w:t>
      </w:r>
    </w:p>
    <w:p>
      <w:pPr>
        <w:pStyle w:val="ListParagraph"/>
        <w:numPr>
          <w:ilvl w:val="0"/>
          <w:numId w:val="1"/>
        </w:numPr>
        <w:spacing w:line="360" w:after="80"/>
      </w:pPr>
      <w:r>
        <w:t xml:space="preserve">Medium-Priority Recommendations</w:t>
      </w:r>
    </w:p>
    <w:p>
      <w:pPr>
        <w:pStyle w:val="ListParagraph"/>
        <w:numPr>
          <w:ilvl w:val="0"/>
          <w:numId w:val="1"/>
        </w:numPr>
        <w:spacing w:line="360" w:after="80"/>
      </w:pPr>
      <w:r>
        <w:t xml:space="preserve">Remediation Roadmap</w:t>
      </w:r>
    </w:p>
    <w:p>
      <w:pPr>
        <w:pStyle w:val="ListParagraph"/>
        <w:numPr>
          <w:ilvl w:val="0"/>
          <w:numId w:val="1"/>
        </w:numPr>
        <w:spacing w:line="360" w:after="80"/>
      </w:pPr>
      <w:r>
        <w:t xml:space="preserve">Compliance Confidence and Limitations</w:t>
      </w:r>
    </w:p>
    <w:r>
      <w:br w:type="page"/>
    </w:r>
    <w:p>
      <w:pPr>
        <w:pStyle w:val="Heading2"/>
        <w:spacing w:line="360" w:before="400" w:after="200"/>
      </w:pPr>
      <w:r>
        <w:t xml:space="preserve">1. EXECUTIVE SUMMARY</w:t>
      </w:r>
    </w:p>
    <w:p>
      <w:pPr>
        <w:spacing w:after="100"/>
      </w:pPr>
      <w:r>
        <w:rPr>
          <w:rFonts w:ascii="Arial" w:cs="Arial" w:eastAsia="Arial" w:hAnsi="Arial"/>
          <w:b/>
          <w:bCs/>
          <w:sz w:val="22"/>
          <w:szCs w:val="22"/>
        </w:rPr>
        <w:t xml:space="preserve">Overall Compliance Status: </w:t>
      </w:r>
      <w:r>
        <w:rPr>
          <w:rFonts w:ascii="Arial" w:cs="Arial" w:eastAsia="Arial" w:hAnsi="Arial"/>
          <w:b/>
          <w:bCs/>
          <w:color w:val="00B050"/>
          <w:sz w:val="22"/>
          <w:szCs w:val="22"/>
        </w:rPr>
        <w:t xml:space="preserve">PARTIAL COMPLIANCE — SIGNIFICANT GAPS IDENTIFIED</w:t>
      </w:r>
    </w:p>
    <w:p>
      <w:pPr>
        <w:spacing w:line="360" w:after="100"/>
      </w:pPr>
      <w:r>
        <w:t xml:space="preserve">Cross Care Group operates a static healthcare website (crosscaregroup.com.au) serving clients across Queensland, New South Wales, South Australia, Tasmania, and Western Australia. The site collects personal data — including names, emails, phone numbers, and health-related referral information — through multiple web forms that submit directly to Microsoft Power Automate workflows.</w:t>
      </w:r>
    </w:p>
    <w:p>
      <w:pPr>
        <w:spacing w:line="360" w:after="100"/>
      </w:pPr>
      <w:r>
        <w:t xml:space="preserve">While the site demonstrates solid foundational security practices (Content Security Policy headers, XSS sanitisation, rate limiting, HSTS, file upload validation), the privacy compliance posture has critical gaps under both the Australian Privacy Act 1988 and GDPR. Most notably, the privacy policy is substantively incomplete, no cookie consent mechanism exists despite infrastructure for Google Analytics/GTM, and the site collects sensitive health information through referral forms without adequate privacy safeguards or layered notices.</w:t>
      </w:r>
    </w:p>
    <w:r>
      <w:br w:type="page"/>
    </w:r>
    <w:p>
      <w:pPr>
        <w:pStyle w:val="Heading2"/>
        <w:spacing w:line="360" w:before="400" w:after="200"/>
      </w:pPr>
      <w:r>
        <w:t xml:space="preserve">2. SCOPE AND METHODOLOGY</w:t>
      </w:r>
    </w:p>
    <w:p>
      <w:pPr>
        <w:spacing w:line="360" w:after="100"/>
      </w:pPr>
    </w:p>
    <w:p>
      <w:pPr>
        <w:spacing w:after="100"/>
      </w:pPr>
      <w:r>
        <w:rPr>
          <w:b/>
          <w:bCs/>
        </w:rPr>
        <w:t xml:space="preserve">Subject: </w:t>
      </w:r>
      <w:r>
        <w:t xml:space="preserve">Cross Care Group public website at crosscaregroup.com.au</w:t>
      </w:r>
    </w:p>
    <w:p>
      <w:pPr>
        <w:spacing w:after="100"/>
      </w:pPr>
      <w:r>
        <w:rPr>
          <w:b/>
          <w:bCs/>
        </w:rPr>
        <w:t xml:space="preserve">Review Date: </w:t>
      </w:r>
      <w:r>
        <w:t xml:space="preserve">16 February 2026</w:t>
      </w:r>
    </w:p>
    <w:p>
      <w:pPr>
        <w:spacing w:after="100"/>
      </w:pPr>
      <w:r>
        <w:rPr>
          <w:b/>
          <w:bCs/>
        </w:rPr>
        <w:t xml:space="preserve">Frameworks: </w:t>
      </w:r>
      <w:r>
        <w:t xml:space="preserve">Australian Privacy Act 1988 (Privacy Principles 1–13), GDPR (Articles 5–49)</w:t>
      </w:r>
    </w:p>
    <w:p>
      <w:pPr>
        <w:spacing w:after="100"/>
      </w:pPr>
      <w:r>
        <w:rPr>
          <w:b/>
          <w:bCs/>
        </w:rPr>
        <w:t xml:space="preserve">Materials Reviewed: </w:t>
      </w:r>
      <w:r>
        <w:t xml:space="preserve">48 HTML pages, 10 JavaScript files, 3 CSS files, server configuration (.htaccess), API endpoint configuration (config.js), form submission engine (forms.js), authentication module (auth.js), privacy policy page, terms of use page, rights/feedback/complaints page, Postman API collection, security documentation.</w:t>
      </w:r>
    </w:p>
    <w:p>
      <w:pPr>
        <w:spacing w:after="200"/>
      </w:pPr>
      <w:r>
        <w:rPr>
          <w:b/>
          <w:bCs/>
        </w:rPr>
        <w:t xml:space="preserve">Geographic Scope: </w:t>
      </w:r>
      <w:r>
        <w:t xml:space="preserve">Australia (primary), with GDPR relevance if EU/EEA individuals access the site.</w:t>
      </w:r>
    </w:p>
    <w:r>
      <w:br w:type="page"/>
    </w:r>
    <w:p>
      <w:pPr>
        <w:pStyle w:val="Heading2"/>
        <w:spacing w:line="360" w:before="400" w:after="200"/>
      </w:pPr>
      <w:r>
        <w:t xml:space="preserve">3. AUSTRALIAN PRIVACY ACT (APPs) FINDINGS</w:t>
      </w:r>
    </w:p>
    <w:p>
      <w:pPr>
        <w:pStyle w:val="Heading3"/>
        <w:spacing w:line="360" w:before="200" w:after="100"/>
      </w:pPr>
      <w:r>
        <w:t xml:space="preserve">APP 1 — Open and Transparent Management of Personal Information</w:t>
      </w:r>
    </w:p>
    <w:p>
      <w:pPr>
        <w:spacing w:after="100"/>
      </w:pPr>
      <w:r>
        <w:rPr>
          <w:rFonts w:ascii="Arial" w:cs="Arial" w:eastAsia="Arial" w:hAnsi="Arial"/>
          <w:b/>
          <w:bCs/>
          <w:sz w:val="22"/>
          <w:szCs w:val="22"/>
        </w:rPr>
        <w:t xml:space="preserve">Status: </w:t>
      </w:r>
      <w:r>
        <w:rPr>
          <w:rFonts w:ascii="Arial" w:cs="Arial" w:eastAsia="Arial" w:hAnsi="Arial"/>
          <w:b/>
          <w:bCs/>
          <w:color w:val="C00000"/>
          <w:sz w:val="22"/>
          <w:szCs w:val="22"/>
        </w:rPr>
        <w:t xml:space="preserve">FAIL</w:t>
      </w:r>
    </w:p>
    <w:p>
      <w:pPr>
        <w:spacing w:line="360" w:after="100"/>
      </w:pPr>
      <w:r>
        <w:t xml:space="preserve">The privacy policy at /legal/privacy-policy/ contains only three brief sections: (1) Commitment to Privacy, (2) Clinical Disclosure, and (3) Your Rights. This falls substantially short of APP 1 requirements. Missing elements include: the types of personal information collected (the policy mentions only "clinical data" without specifying names, emails, phone numbers, referral details, etc.), how personal information is collected (no mention of web forms, Power Automate workflows, Jotform embeds, or file uploads), the purposes for which information is collected and used, how individuals can access or correct their information (the policy mentions requesting a copy within 2 business days but provides no process details, no contact information for privacy requests, and no correction mechanism), whether information is disclosed to overseas recipients, the organisation's complaint handling process, and how the policy can be accessed. The organisation name "Cross Care Group" is used but no ABN, registered entity name, or privacy officer contact details are provided.</w:t>
      </w:r>
    </w:p>
    <w:p>
      <w:pPr>
        <w:pStyle w:val="Heading3"/>
        <w:spacing w:line="360" w:before="200" w:after="100"/>
      </w:pPr>
      <w:r>
        <w:t xml:space="preserve">APP 3 — Collection of Solicited Personal Information</w:t>
      </w:r>
    </w:p>
    <w:p>
      <w:pPr>
        <w:spacing w:after="100"/>
      </w:pPr>
      <w:r>
        <w:rPr>
          <w:rFonts w:ascii="Arial" w:cs="Arial" w:eastAsia="Arial" w:hAnsi="Arial"/>
          <w:b/>
          <w:bCs/>
          <w:sz w:val="22"/>
          <w:szCs w:val="22"/>
        </w:rPr>
        <w:t xml:space="preserve">Status: </w:t>
      </w:r>
      <w:r>
        <w:rPr>
          <w:rFonts w:ascii="Arial" w:cs="Arial" w:eastAsia="Arial" w:hAnsi="Arial"/>
          <w:b/>
          <w:bCs/>
          <w:color w:val="FF9800"/>
          <w:sz w:val="22"/>
          <w:szCs w:val="22"/>
        </w:rPr>
        <w:t xml:space="preserve">PARTIAL</w:t>
      </w:r>
    </w:p>
    <w:p>
      <w:pPr>
        <w:spacing w:line="360" w:after="100"/>
      </w:pPr>
      <w:r>
        <w:t xml:space="preserve">The site collects personal information through at least six form types: General Enquiry (name, email, phone, reason, message), Support Request, Medical Referral (including patient clinical details, NDIS information, funding details, urgency flags), Expression of Interest for careers (including CV uploads), and Feedback/Complaints. The referral form collects health information, which is classified as "sensitive information" under the Privacy Act and requires explicit consent before collection. The consent checkbox on the contact form reads "I consent to Cross Care Group contacting me about this enquiry" — this is narrow consent only for contact regarding the enquiry, not broad consent for all processing. The referral form collects sensitive health data (clinical details, NDIS plans, funding information) but the consent mechanisms for this sensitive data collection were not visible in the reviewed code. Additionally, the form placeholder text "Please avoid sharing sensitive medical details" in the enquiry form textarea is insufficient as a privacy control — it does not prevent collection and there is no server-side filtering.</w:t>
      </w:r>
    </w:p>
    <w:p>
      <w:pPr>
        <w:pStyle w:val="Heading3"/>
        <w:spacing w:line="360" w:before="200" w:after="100"/>
      </w:pPr>
      <w:r>
        <w:t xml:space="preserve">APP 5 — Notification of Collection of Personal Information</w:t>
      </w:r>
    </w:p>
    <w:p>
      <w:pPr>
        <w:spacing w:after="100"/>
      </w:pPr>
      <w:r>
        <w:rPr>
          <w:rFonts w:ascii="Arial" w:cs="Arial" w:eastAsia="Arial" w:hAnsi="Arial"/>
          <w:b/>
          <w:bCs/>
          <w:sz w:val="22"/>
          <w:szCs w:val="22"/>
        </w:rPr>
        <w:t xml:space="preserve">Status: </w:t>
      </w:r>
      <w:r>
        <w:rPr>
          <w:rFonts w:ascii="Arial" w:cs="Arial" w:eastAsia="Arial" w:hAnsi="Arial"/>
          <w:b/>
          <w:bCs/>
          <w:color w:val="C00000"/>
          <w:sz w:val="22"/>
          <w:szCs w:val="22"/>
        </w:rPr>
        <w:t xml:space="preserve">FAIL</w:t>
      </w:r>
    </w:p>
    <w:p>
      <w:pPr>
        <w:spacing w:line="360" w:after="100"/>
      </w:pPr>
      <w:r>
        <w:t xml:space="preserve">At the point of collection (the forms), users are not informed of: the identity and contact details of the organisation collecting the information, the fact that they are able to access and correct their data, the purposes for which data is being collected, the consequences of not providing the information, or the organisations or types of organisations to which information is usually disclosed. The contact form consent checkbox is the only notification, and it addresses only one narrow purpose (being contacted about the enquiry). There is no layered privacy notice, no link to the privacy policy adjacent to forms, and no collection notice on the referral form despite it collecting sensitive health information.</w:t>
      </w:r>
    </w:p>
    <w:p>
      <w:pPr>
        <w:pStyle w:val="Heading3"/>
        <w:spacing w:line="360" w:before="200" w:after="100"/>
      </w:pPr>
      <w:r>
        <w:t xml:space="preserve">APP 6 — Use or Disclosure of Personal Information</w:t>
      </w:r>
    </w:p>
    <w:p>
      <w:pPr>
        <w:spacing w:after="100"/>
      </w:pPr>
      <w:r>
        <w:rPr>
          <w:rFonts w:ascii="Arial" w:cs="Arial" w:eastAsia="Arial" w:hAnsi="Arial"/>
          <w:b/>
          <w:bCs/>
          <w:sz w:val="22"/>
          <w:szCs w:val="22"/>
        </w:rPr>
        <w:t xml:space="preserve">Status: </w:t>
      </w:r>
      <w:r>
        <w:rPr>
          <w:rFonts w:ascii="Arial" w:cs="Arial" w:eastAsia="Arial" w:hAnsi="Arial"/>
          <w:b/>
          <w:bCs/>
          <w:color w:val="C00000"/>
          <w:sz w:val="22"/>
          <w:szCs w:val="22"/>
        </w:rPr>
        <w:t xml:space="preserve">FAIL</w:t>
      </w:r>
    </w:p>
    <w:p>
      <w:pPr>
        <w:spacing w:line="360" w:after="100"/>
      </w:pPr>
      <w:r>
        <w:t xml:space="preserve">The privacy policy states information "may be shared only with defined care team members (Doctors, OT, Registered Nurses) as part of your integrated care plan" and that "We never disclose data for marketing purposes." However, form data is transmitted to Microsoft Power Automate via HTTP triggers with SAS tokens exposed in client-side JavaScript. The config.js file contains full Power Automate workflow URLs including authentication signatures (sig= parameters). This means: (a) the data processor (Microsoft/Power Platform) is not disclosed to users, (b) there is no documented data processing agreement referenced, and (c) the SAS token exposure in client-side code is itself a security concern that could allow unauthorised third parties to submit or intercept data. The CSP also allows connections to Jotform, suggesting additional third-party form processing that is not disclosed. Google Analytics and GTM infrastructure is in place (allowed in CSP, placeholder code in index.html) — when activated, this would constitute disclosure to Google without any consent mechanism.</w:t>
      </w:r>
    </w:p>
    <w:p>
      <w:pPr>
        <w:pStyle w:val="Heading3"/>
        <w:spacing w:line="360" w:before="200" w:after="100"/>
      </w:pPr>
      <w:r>
        <w:t xml:space="preserve">APP 9 — Security and Data Handling</w:t>
      </w:r>
    </w:p>
    <w:p>
      <w:pPr>
        <w:spacing w:after="100"/>
      </w:pPr>
      <w:r>
        <w:rPr>
          <w:rFonts w:ascii="Arial" w:cs="Arial" w:eastAsia="Arial" w:hAnsi="Arial"/>
          <w:b/>
          <w:bCs/>
          <w:sz w:val="22"/>
          <w:szCs w:val="22"/>
        </w:rPr>
        <w:t xml:space="preserve">Status: </w:t>
      </w:r>
      <w:r>
        <w:rPr>
          <w:rFonts w:ascii="Arial" w:cs="Arial" w:eastAsia="Arial" w:hAnsi="Arial"/>
          <w:b/>
          <w:bCs/>
          <w:color w:val="FF9800"/>
          <w:sz w:val="22"/>
          <w:szCs w:val="22"/>
        </w:rPr>
        <w:t xml:space="preserve">PARTIAL</w:t>
      </w:r>
    </w:p>
    <w:p>
      <w:pPr>
        <w:spacing w:line="360" w:after="100"/>
      </w:pPr>
      <w:r>
        <w:t xml:space="preserve">Positive findings: Content Security Policy (CSP) headers are implemented across all pages restricting script sources, frame sources, and connection endpoints. HSTS is configured in .htaccess. X-Content-Type-Options: nosniff and X-Frame-Options: SAMEORIGIN are set. Form submissions include XSS sanitisation, client-side rate limiting (5 submissions per 60 seconds), and file upload validation (type and size checks). The OIDC authentication module uses PKCE flow with SHA-256.</w:t>
      </w:r>
    </w:p>
    <w:p>
      <w:pPr>
        <w:spacing w:line="360" w:after="100"/>
      </w:pPr>
      <w:r>
        <w:t xml:space="preserve">Concerns: Power Automate SAS tokens are exposed in client-side JavaScript (config.js), which means anyone viewing the page source can see the full API endpoint URLs including authentication signatures. While these are scoped to specific workflows, they should not be in client-accessible code. The auth module stores tokens in sessionStorage, which is accessible to any JavaScript running on the same origin. The CSP allows 'unsafe-inline' for styles, which weakens protection against certain injection attacks.</w:t>
      </w:r>
    </w:p>
    <w:p>
      <w:pPr>
        <w:pStyle w:val="Heading3"/>
        <w:spacing w:line="360" w:before="200" w:after="100"/>
      </w:pPr>
      <w:r>
        <w:t xml:space="preserve">APP 13 — Correction of Personal Information</w:t>
      </w:r>
    </w:p>
    <w:p>
      <w:pPr>
        <w:spacing w:after="100"/>
      </w:pPr>
      <w:r>
        <w:rPr>
          <w:rFonts w:ascii="Arial" w:cs="Arial" w:eastAsia="Arial" w:hAnsi="Arial"/>
          <w:b/>
          <w:bCs/>
          <w:sz w:val="22"/>
          <w:szCs w:val="22"/>
        </w:rPr>
        <w:t xml:space="preserve">Status: </w:t>
      </w:r>
      <w:r>
        <w:rPr>
          <w:rFonts w:ascii="Arial" w:cs="Arial" w:eastAsia="Arial" w:hAnsi="Arial"/>
          <w:b/>
          <w:bCs/>
          <w:color w:val="C00000"/>
          <w:sz w:val="22"/>
          <w:szCs w:val="22"/>
        </w:rPr>
        <w:t xml:space="preserve">FAIL</w:t>
      </w:r>
    </w:p>
    <w:p>
      <w:pPr>
        <w:spacing w:line="360" w:after="100"/>
      </w:pPr>
      <w:r>
        <w:t xml:space="preserve">The privacy policy mentions the right to "request a copy of your clinical data" but does not mention any right to correct inaccurate information. There is no correction request mechanism, no designated contact point for privacy corrections, and no documented process for handling correction requests. Under APP 13, organisations must take reasonable steps to correct personal information if requested, and must respond within 30 days.</w:t>
      </w:r>
    </w:p>
    <w:p>
      <w:pPr>
        <w:pStyle w:val="Heading3"/>
        <w:spacing w:line="360" w:before="200" w:after="100"/>
      </w:pPr>
      <w:r>
        <w:t xml:space="preserve">Other Relevant APPs</w:t>
      </w:r>
    </w:p>
    <w:p>
      <w:pPr>
        <w:spacing w:line="360" w:after="100"/>
      </w:pPr>
    </w:p>
    <w:p>
      <w:pPr>
        <w:spacing w:after="100"/>
      </w:pPr>
      <w:r>
        <w:rPr>
          <w:b/>
          <w:bCs/>
        </w:rPr>
        <w:t xml:space="preserve">APP 7 (Direct Marketing): </w:t>
      </w:r>
      <w:r>
        <w:t xml:space="preserve">Status </w:t>
      </w:r>
      <w:r>
        <w:rPr>
          <w:b/>
          <w:bCs/>
          <w:color w:val="00B050"/>
        </w:rPr>
        <w:t xml:space="preserve">PASS</w:t>
      </w:r>
      <w:r>
        <w:t xml:space="preserve">. The privacy policy explicitly states "We never disclose data for marketing purposes." No marketing tracking is currently active (GA4 is commented out). However, this will become non-compliant if Google Analytics is activated without an opt-out mechanism.</w:t>
      </w:r>
    </w:p>
    <w:p>
      <w:pPr>
        <w:spacing w:after="100"/>
      </w:pPr>
      <w:r>
        <w:rPr>
          <w:b/>
          <w:bCs/>
        </w:rPr>
        <w:t xml:space="preserve">APP 8 (Cross-border Disclosure): </w:t>
      </w:r>
      <w:r>
        <w:t xml:space="preserve">Status </w:t>
      </w:r>
      <w:r>
        <w:rPr>
          <w:b/>
          <w:bCs/>
          <w:color w:val="C00000"/>
        </w:rPr>
        <w:t xml:space="preserve">FAIL</w:t>
      </w:r>
      <w:r>
        <w:t xml:space="preserve">. Data is transmitted to Microsoft Power Platform servers. No disclosure is made about where data is stored or processed. Microsoft Power Platform data residency may include overseas locations. No cross-border data transfer assessment or disclosure has been provided.</w:t>
      </w:r>
    </w:p>
    <w:p>
      <w:pPr>
        <w:spacing w:after="200"/>
      </w:pPr>
      <w:r>
        <w:rPr>
          <w:b/>
          <w:bCs/>
        </w:rPr>
        <w:t xml:space="preserve">APP 11 (Security of Personal Information): </w:t>
      </w:r>
      <w:r>
        <w:t xml:space="preserve">Status </w:t>
      </w:r>
      <w:r>
        <w:rPr>
          <w:b/>
          <w:bCs/>
          <w:color w:val="FF9800"/>
        </w:rPr>
        <w:t xml:space="preserve">PARTIAL</w:t>
      </w:r>
      <w:r>
        <w:t xml:space="preserve">. While technical security measures are reasonable, the exposure of API authentication tokens in client-side code represents a vulnerability. No data retention policy is documented — there is no indication of when collected personal information is destroyed or de-identified.</w:t>
      </w:r>
    </w:p>
    <w:r>
      <w:br w:type="page"/>
    </w:r>
    <w:p>
      <w:pPr>
        <w:pStyle w:val="Heading2"/>
        <w:spacing w:line="360" w:before="400" w:after="200"/>
      </w:pPr>
      <w:r>
        <w:t xml:space="preserve">4. GDPR FINDINGS</w:t>
      </w:r>
    </w:p>
    <w:p>
      <w:pPr>
        <w:pStyle w:val="Heading3"/>
        <w:spacing w:line="360" w:before="200" w:after="100"/>
      </w:pPr>
      <w:r>
        <w:t xml:space="preserve">Consent and Legal Basis (Articles 6, 7, 9)</w:t>
      </w:r>
    </w:p>
    <w:p>
      <w:pPr>
        <w:spacing w:after="100"/>
      </w:pPr>
      <w:r>
        <w:rPr>
          <w:rFonts w:ascii="Arial" w:cs="Arial" w:eastAsia="Arial" w:hAnsi="Arial"/>
          <w:b/>
          <w:bCs/>
          <w:sz w:val="22"/>
          <w:szCs w:val="22"/>
        </w:rPr>
        <w:t xml:space="preserve">Status: </w:t>
      </w:r>
      <w:r>
        <w:rPr>
          <w:rFonts w:ascii="Arial" w:cs="Arial" w:eastAsia="Arial" w:hAnsi="Arial"/>
          <w:b/>
          <w:bCs/>
          <w:color w:val="C00000"/>
          <w:sz w:val="22"/>
          <w:szCs w:val="22"/>
        </w:rPr>
        <w:t xml:space="preserve">FAIL</w:t>
      </w:r>
    </w:p>
    <w:p>
      <w:pPr>
        <w:spacing w:line="360" w:after="100"/>
      </w:pPr>
      <w:r>
        <w:t xml:space="preserve">No valid GDPR consent mechanism exists. The contact form consent checkbox ("I consent to Cross Care Group contacting me about this enquiry") is insufficient because: it bundles consent for contact with consent for data processing, it does not identify the legal basis for processing, it does not cover all processing activities (storage in Power Automate, potential analytics), and it does not meet the GDPR standard of "freely given, specific, informed and unambiguous." For sensitive data (health information in referrals), GDPR Article 9 requires explicit consent with clear identification of the specific categories of data and purposes — this is entirely absent. There is no consent mechanism for cookies or analytics tracking. While GA4 is currently commented out, the CSP infrastructure allows Google Analytics and GTM, and when activated, there will be no GDPR-compliant consent banner.</w:t>
      </w:r>
    </w:p>
    <w:p>
      <w:pPr>
        <w:pStyle w:val="Heading3"/>
        <w:spacing w:line="360" w:before="200" w:after="100"/>
      </w:pPr>
      <w:r>
        <w:t xml:space="preserve">Data Minimisation (Article 5(1)(c))</w:t>
      </w:r>
    </w:p>
    <w:p>
      <w:pPr>
        <w:spacing w:after="100"/>
      </w:pPr>
      <w:r>
        <w:rPr>
          <w:rFonts w:ascii="Arial" w:cs="Arial" w:eastAsia="Arial" w:hAnsi="Arial"/>
          <w:b/>
          <w:bCs/>
          <w:sz w:val="22"/>
          <w:szCs w:val="22"/>
        </w:rPr>
        <w:t xml:space="preserve">Status: </w:t>
      </w:r>
      <w:r>
        <w:rPr>
          <w:rFonts w:ascii="Arial" w:cs="Arial" w:eastAsia="Arial" w:hAnsi="Arial"/>
          <w:b/>
          <w:bCs/>
          <w:color w:val="FF9800"/>
          <w:sz w:val="22"/>
          <w:szCs w:val="22"/>
        </w:rPr>
        <w:t xml:space="preserve">PARTIAL</w:t>
      </w:r>
    </w:p>
    <w:p>
      <w:pPr>
        <w:spacing w:line="360" w:after="100"/>
      </w:pPr>
      <w:r>
        <w:t xml:space="preserve">The contact form collects name, email, phone, reason, and message — phone is optional, which is good practice. However, the referral form appears to collect extensive clinical data. Without seeing the full referral form fields (the wizard-style form builds dynamically), it is difficult to fully assess whether all fields are strictly necessary. The "request catalogue" checkbox on the contact form collects an additional data point that may not be necessary for the primary purpose.</w:t>
      </w:r>
    </w:p>
    <w:p>
      <w:pPr>
        <w:pStyle w:val="Heading3"/>
        <w:spacing w:line="360" w:before="200" w:after="100"/>
      </w:pPr>
      <w:r>
        <w:t xml:space="preserve">Transparency — Privacy Notice (Articles 13, 14)</w:t>
      </w:r>
    </w:p>
    <w:p>
      <w:pPr>
        <w:spacing w:after="100"/>
      </w:pPr>
      <w:r>
        <w:rPr>
          <w:rFonts w:ascii="Arial" w:cs="Arial" w:eastAsia="Arial" w:hAnsi="Arial"/>
          <w:b/>
          <w:bCs/>
          <w:sz w:val="22"/>
          <w:szCs w:val="22"/>
        </w:rPr>
        <w:t xml:space="preserve">Status: </w:t>
      </w:r>
      <w:r>
        <w:rPr>
          <w:rFonts w:ascii="Arial" w:cs="Arial" w:eastAsia="Arial" w:hAnsi="Arial"/>
          <w:b/>
          <w:bCs/>
          <w:color w:val="C00000"/>
          <w:sz w:val="22"/>
          <w:szCs w:val="22"/>
        </w:rPr>
        <w:t xml:space="preserve">FAIL</w:t>
      </w:r>
    </w:p>
    <w:p>
      <w:pPr>
        <w:spacing w:line="360" w:after="100"/>
      </w:pPr>
      <w:r>
        <w:t xml:space="preserve">The privacy policy fails to include numerous GDPR-required elements: identity and contact details of the data controller, contact details of the Data Protection Officer (if appointed), the purposes and legal basis for processing each category of data, the categories of personal data collected, recipients or categories of recipients, details of international transfers and safeguards, retention periods for each category of data, data subject rights (access, rectification, erasure, restriction, portability, objection), the right to withdraw consent, the right to lodge a complaint with a supervisory authority, whether provision of data is a statutory/contractual requirement, and any automated decision-making including profiling. The current policy is approximately 150 words — a GDPR-compliant notice for a healthcare organisation processing sensitive data would typically be several pages.</w:t>
      </w:r>
    </w:p>
    <w:p>
      <w:pPr>
        <w:pStyle w:val="Heading3"/>
        <w:spacing w:line="360" w:before="200" w:after="100"/>
      </w:pPr>
      <w:r>
        <w:t xml:space="preserve">Data Subject Rights (Articles 15–22)</w:t>
      </w:r>
    </w:p>
    <w:p>
      <w:pPr>
        <w:spacing w:after="100"/>
      </w:pPr>
      <w:r>
        <w:rPr>
          <w:rFonts w:ascii="Arial" w:cs="Arial" w:eastAsia="Arial" w:hAnsi="Arial"/>
          <w:b/>
          <w:bCs/>
          <w:sz w:val="22"/>
          <w:szCs w:val="22"/>
        </w:rPr>
        <w:t xml:space="preserve">Status: </w:t>
      </w:r>
      <w:r>
        <w:rPr>
          <w:rFonts w:ascii="Arial" w:cs="Arial" w:eastAsia="Arial" w:hAnsi="Arial"/>
          <w:b/>
          <w:bCs/>
          <w:color w:val="C00000"/>
          <w:sz w:val="22"/>
          <w:szCs w:val="22"/>
        </w:rPr>
        <w:t xml:space="preserve">FAIL</w:t>
      </w:r>
    </w:p>
    <w:p>
      <w:pPr>
        <w:spacing w:line="360" w:after="100"/>
      </w:pPr>
      <w:r>
        <w:t xml:space="preserve">The policy mentions only the right to request a copy of clinical data (Article 15 — access). It does not address: right to rectification (Article 16), right to erasure (Article 17), right to restriction of processing (Article 18), right to data portability (Article 20), or right to object (Article 21). No mechanism exists for exercising any of these rights — no dedicated email address, no online form, and no documented process. The 2-business-day response time mentioned is commendable but unenforceable without a proper rights framework.</w:t>
      </w:r>
    </w:p>
    <w:p>
      <w:pPr>
        <w:pStyle w:val="Heading3"/>
        <w:spacing w:line="360" w:before="200" w:after="100"/>
      </w:pPr>
      <w:r>
        <w:t xml:space="preserve">Data Security (Article 32)</w:t>
      </w:r>
    </w:p>
    <w:p>
      <w:pPr>
        <w:spacing w:after="100"/>
      </w:pPr>
      <w:r>
        <w:rPr>
          <w:rFonts w:ascii="Arial" w:cs="Arial" w:eastAsia="Arial" w:hAnsi="Arial"/>
          <w:b/>
          <w:bCs/>
          <w:sz w:val="22"/>
          <w:szCs w:val="22"/>
        </w:rPr>
        <w:t xml:space="preserve">Status: </w:t>
      </w:r>
      <w:r>
        <w:rPr>
          <w:rFonts w:ascii="Arial" w:cs="Arial" w:eastAsia="Arial" w:hAnsi="Arial"/>
          <w:b/>
          <w:bCs/>
          <w:color w:val="FF9800"/>
          <w:sz w:val="22"/>
          <w:szCs w:val="22"/>
        </w:rPr>
        <w:t xml:space="preserve">PARTIAL</w:t>
      </w:r>
    </w:p>
    <w:p>
      <w:pPr>
        <w:spacing w:line="360" w:after="100"/>
      </w:pPr>
      <w:r>
        <w:t xml:space="preserve">As noted under APP 9, the technical security measures are generally reasonable: CSP headers, HSTS, XSS prevention, rate limiting, file validation. However, the exposure of Power Automate SAS tokens in client-side JavaScript is a significant concern under Article 32's requirement for "appropriate technical measures." The 'unsafe-inline' allowance in the CSP style-src weakens the overall security posture. There is no evidence of data encryption at rest documentation, no data breach notification procedure, and no documented security testing regime.</w:t>
      </w:r>
    </w:p>
    <w:p>
      <w:pPr>
        <w:pStyle w:val="Heading3"/>
        <w:spacing w:line="360" w:before="200" w:after="100"/>
      </w:pPr>
      <w:r>
        <w:t xml:space="preserve">Third-Party Transfers (Articles 28, 44–49)</w:t>
      </w:r>
    </w:p>
    <w:p>
      <w:pPr>
        <w:spacing w:after="100"/>
      </w:pPr>
      <w:r>
        <w:rPr>
          <w:rFonts w:ascii="Arial" w:cs="Arial" w:eastAsia="Arial" w:hAnsi="Arial"/>
          <w:b/>
          <w:bCs/>
          <w:sz w:val="22"/>
          <w:szCs w:val="22"/>
        </w:rPr>
        <w:t xml:space="preserve">Status: </w:t>
      </w:r>
      <w:r>
        <w:rPr>
          <w:rFonts w:ascii="Arial" w:cs="Arial" w:eastAsia="Arial" w:hAnsi="Arial"/>
          <w:b/>
          <w:bCs/>
          <w:color w:val="C00000"/>
          <w:sz w:val="22"/>
          <w:szCs w:val="22"/>
        </w:rPr>
        <w:t xml:space="preserve">FAIL</w:t>
      </w:r>
    </w:p>
    <w:p>
      <w:pPr>
        <w:spacing w:line="360" w:after="100"/>
      </w:pPr>
      <w:r>
        <w:t xml:space="preserve">Form data is transmitted to Microsoft Power Automate (Power Platform), which constitutes processing by a third-party processor. Under Article 28, this requires a documented Data Processing Agreement (DPA). No evidence of a DPA was found in the codebase or referenced in any policy. The CSP also permits connections to Jotform (jotform.com, jotfor.ms), suggesting additional third-party processing. Google Fonts are loaded from Google servers, which involves transmitting user IP addresses to Google — this has been ruled a GDPR violation in some EU jurisdictions. No international transfer impact assessment or Standard Contractual Clauses are referenced.</w:t>
      </w:r>
    </w:p>
    <w:p>
      <w:pPr>
        <w:pStyle w:val="Heading3"/>
        <w:spacing w:line="360" w:before="200" w:after="100"/>
      </w:pPr>
      <w:r>
        <w:t xml:space="preserve">Data Processing Agreements (Article 28)</w:t>
      </w:r>
    </w:p>
    <w:p>
      <w:pPr>
        <w:spacing w:after="100"/>
      </w:pPr>
      <w:r>
        <w:rPr>
          <w:rFonts w:ascii="Arial" w:cs="Arial" w:eastAsia="Arial" w:hAnsi="Arial"/>
          <w:b/>
          <w:bCs/>
          <w:sz w:val="22"/>
          <w:szCs w:val="22"/>
        </w:rPr>
        <w:t xml:space="preserve">Status: </w:t>
      </w:r>
      <w:r>
        <w:rPr>
          <w:rFonts w:ascii="Arial" w:cs="Arial" w:eastAsia="Arial" w:hAnsi="Arial"/>
          <w:b/>
          <w:bCs/>
          <w:color w:val="C00000"/>
          <w:sz w:val="22"/>
          <w:szCs w:val="22"/>
        </w:rPr>
        <w:t xml:space="preserve">FAIL</w:t>
      </w:r>
    </w:p>
    <w:p>
      <w:pPr>
        <w:spacing w:line="360" w:after="100"/>
      </w:pPr>
      <w:r>
        <w:t xml:space="preserve">No Data Processing Agreements are referenced or evidenced for any of the following processors: Microsoft (Power Automate/Power Platform), Jotform, Google (Fonts, Analytics/GTM when activated), SiteGround (hosting provider), or YouTube (embedded videos). Each of these third parties processes personal data on behalf of Cross Care Group and requires a documented Article 28 DPA.</w:t>
      </w:r>
    </w:p>
    <w:r>
      <w:br w:type="page"/>
    </w:r>
    <w:p>
      <w:pPr>
        <w:pStyle w:val="Heading2"/>
        <w:spacing w:line="360" w:before="400" w:after="200"/>
      </w:pPr>
      <w:r>
        <w:t xml:space="preserve">5. HIGH-PRIORITY ISSUES (CRITICAL VIOLATIONS)</w:t>
      </w:r>
    </w:p>
    <w:p>
      <w:pPr>
        <w:spacing w:after="100"/>
      </w:pPr>
      <w:r>
        <w:rPr>
          <w:b/>
          <w:bCs/>
        </w:rPr>
        <w:t xml:space="preserve">1. No Cookie Consent Mechanism: </w:t>
      </w:r>
      <w:r>
        <w:t xml:space="preserve">Despite CSP infrastructure permitting Google Analytics, GTM, and third-party services, there is no cookie consent banner or consent management platform. When analytics are activated, this will violate both the Privacy Act (implied consent insufficient for tracking) and GDPR Article 7. RISK: HIGH.</w:t>
      </w:r>
    </w:p>
    <w:p>
      <w:pPr>
        <w:spacing w:after="100"/>
      </w:pPr>
      <w:r>
        <w:rPr>
          <w:b/>
          <w:bCs/>
        </w:rPr>
        <w:t xml:space="preserve">2. Grossly Inadequate Privacy Policy: </w:t>
      </w:r>
      <w:r>
        <w:t xml:space="preserve">The current privacy policy is approximately 150 words and covers only three topics. It fails to meet minimum requirements under both APP 1 and GDPR Articles 13/14. For a healthcare organisation processing sensitive data, this represents a critical compliance gap. RISK: CRITICAL.</w:t>
      </w:r>
    </w:p>
    <w:p>
      <w:pPr>
        <w:spacing w:after="100"/>
      </w:pPr>
      <w:r>
        <w:rPr>
          <w:b/>
          <w:bCs/>
        </w:rPr>
        <w:t xml:space="preserve">3. Sensitive Health Data Collection Without Adequate Consent: </w:t>
      </w:r>
      <w:r>
        <w:t xml:space="preserve">The referral form collects health information (sensitive information under the Privacy Act; special category data under GDPR Article 9) without explicit, informed, granular consent. No layered privacy notice exists at the point of collection. RISK: CRITICAL.</w:t>
      </w:r>
    </w:p>
    <w:p>
      <w:pPr>
        <w:spacing w:after="100"/>
      </w:pPr>
      <w:r>
        <w:rPr>
          <w:b/>
          <w:bCs/>
        </w:rPr>
        <w:t xml:space="preserve">4. Power Automate SAS Tokens Exposed in Client-Side Code: </w:t>
      </w:r>
      <w:r>
        <w:t xml:space="preserve">The config.js file contains complete Power Automate workflow URLs including SAS authentication signatures. These are visible to anyone viewing the page source and could be used to submit fraudulent data or potentially access workflow configurations. This is both a security vulnerability (APP 11, Article 32) and a transparency issue. RISK: HIGH.</w:t>
      </w:r>
    </w:p>
    <w:p>
      <w:pPr>
        <w:spacing w:after="100"/>
      </w:pPr>
      <w:r>
        <w:rPr>
          <w:b/>
          <w:bCs/>
        </w:rPr>
        <w:t xml:space="preserve">5. No Data Processing Agreements Evidenced: </w:t>
      </w:r>
      <w:r>
        <w:t xml:space="preserve">No DPAs are referenced for Microsoft, Jotform, Google, SiteGround, or YouTube despite all of these processing personal data. This violates APP 8 disclosure requirements and GDPR Article 28. RISK: HIGH.</w:t>
      </w:r>
    </w:p>
    <w:p>
      <w:pPr>
        <w:spacing w:after="100"/>
      </w:pPr>
      <w:r>
        <w:rPr>
          <w:b/>
          <w:bCs/>
        </w:rPr>
        <w:t xml:space="preserve">6. No Data Subject Rights Framework: </w:t>
      </w:r>
      <w:r>
        <w:t xml:space="preserve">Beyond a brief mention of data access, there is no mechanism for individuals to exercise correction, erasure, portability, or objection rights. This violates APPs 12-13 and GDPR Articles 15-22. RISK: HIGH.</w:t>
      </w:r>
    </w:p>
    <w:p>
      <w:pPr>
        <w:spacing w:after="100"/>
      </w:pPr>
      <w:r>
        <w:rPr>
          <w:b/>
          <w:bCs/>
        </w:rPr>
        <w:t xml:space="preserve">7. No Data Retention Policy: </w:t>
      </w:r>
      <w:r>
        <w:t xml:space="preserve">There is no documented data retention schedule. The Privacy Act requires organisations to destroy or de-identify data when no longer needed. GDPR Article 5(1)(e) requires storage limitation. RISK: MEDIUM-HIGH.</w:t>
      </w:r>
    </w:p>
    <w:p>
      <w:pPr>
        <w:spacing w:after="200"/>
      </w:pPr>
      <w:r>
        <w:rPr>
          <w:b/>
          <w:bCs/>
        </w:rPr>
        <w:t xml:space="preserve">8. Missing Collection Notices on Forms: </w:t>
      </w:r>
      <w:r>
        <w:t xml:space="preserve">None of the six form types include adequate collection notices as required by APP 5 and GDPR Article 13. Users are not informed of the purposes, recipients, rights, or retention periods at the point of data collection. RISK: HIGH.</w:t>
      </w:r>
    </w:p>
    <w:r>
      <w:br w:type="page"/>
    </w:r>
    <w:p>
      <w:pPr>
        <w:pStyle w:val="Heading2"/>
        <w:spacing w:line="360" w:before="400" w:after="200"/>
      </w:pPr>
      <w:r>
        <w:t xml:space="preserve">6. MEDIUM-PRIORITY RECOMMENDATIONS</w:t>
      </w:r>
    </w:p>
    <w:p>
      <w:pPr>
        <w:spacing w:after="100"/>
      </w:pPr>
      <w:r>
        <w:rPr>
          <w:b/>
          <w:bCs/>
        </w:rPr>
        <w:t xml:space="preserve">1. Implement Granular Consent Checkboxes: </w:t>
      </w:r>
      <w:r>
        <w:t xml:space="preserve">Each form should have separate, uncoupled consent checkboxes for: (a) consent to process data for the stated purpose, (b) consent to share with identified third parties, and (c) optional consent for marketing communications. Consent language should be clear, specific, and reference the privacy policy.</w:t>
      </w:r>
    </w:p>
    <w:p>
      <w:pPr>
        <w:spacing w:after="100"/>
      </w:pPr>
      <w:r>
        <w:rPr>
          <w:b/>
          <w:bCs/>
        </w:rPr>
        <w:t xml:space="preserve">2. Add Privacy Policy Links Adjacent to All Forms: </w:t>
      </w:r>
      <w:r>
        <w:t xml:space="preserve">Every form on the site should include a visible link to the privacy policy and a brief collection statement explaining what data is collected and why. For the referral form, this should include specific mention of health information processing.</w:t>
      </w:r>
    </w:p>
    <w:p>
      <w:pPr>
        <w:spacing w:after="100"/>
      </w:pPr>
      <w:r>
        <w:rPr>
          <w:b/>
          <w:bCs/>
        </w:rPr>
        <w:t xml:space="preserve">3. Move API Endpoints to Server-Side Proxy: </w:t>
      </w:r>
      <w:r>
        <w:t xml:space="preserve">Replace client-side Power Automate URLs with a server-side proxy endpoint that keeps SAS tokens confidential. This eliminates the token exposure vulnerability and provides a single point for logging, rate limiting, and security controls.</w:t>
      </w:r>
    </w:p>
    <w:p>
      <w:pPr>
        <w:spacing w:after="100"/>
      </w:pPr>
      <w:r>
        <w:rPr>
          <w:b/>
          <w:bCs/>
        </w:rPr>
        <w:t xml:space="preserve">4. Implement Google Fonts Locally: </w:t>
      </w:r>
      <w:r>
        <w:t xml:space="preserve">Download and self-host the Inter and Playfair Display fonts rather than loading them from Google's CDN. This eliminates the IP address transmission to Google that has been found non-compliant in EU jurisdictions.</w:t>
      </w:r>
    </w:p>
    <w:p>
      <w:pPr>
        <w:spacing w:after="100"/>
      </w:pPr>
      <w:r>
        <w:rPr>
          <w:b/>
          <w:bCs/>
        </w:rPr>
        <w:t xml:space="preserve">5. Add Data Breach Response Procedures: </w:t>
      </w:r>
      <w:r>
        <w:t xml:space="preserve">Document and implement a data breach response plan covering: identification and containment, risk assessment, notification to the OAIC (under the Notifiable Data Breaches scheme) and relevant EU supervisory authorities (under GDPR Article 33), and notification to affected individuals.</w:t>
      </w:r>
    </w:p>
    <w:p>
      <w:pPr>
        <w:spacing w:after="200"/>
      </w:pPr>
      <w:r>
        <w:rPr>
          <w:b/>
          <w:bCs/>
        </w:rPr>
        <w:t xml:space="preserve">6. Review Jotform Integration: </w:t>
      </w:r>
      <w:r>
        <w:t xml:space="preserve">Assess whether Jotform processes personal data and, if so, ensure a DPA is in place, the integration is disclosed in the privacy policy, and appropriate consent is obtained.</w:t>
      </w:r>
    </w:p>
    <w:r>
      <w:br w:type="page"/>
    </w:r>
    <w:p>
      <w:pPr>
        <w:pStyle w:val="Heading2"/>
        <w:spacing w:line="360" w:before="400" w:after="200"/>
      </w:pPr>
      <w:r>
        <w:t xml:space="preserve">7. REMEDIATION ROADMAP</w:t>
      </w:r>
    </w:p>
    <w:p>
      <w:pPr>
        <w:pStyle w:val="Heading3"/>
        <w:spacing w:line="360" w:before="200" w:after="100"/>
      </w:pPr>
      <w:r>
        <w:t xml:space="preserve">Phase 1 — Immediate (0–30 Days)</w:t>
      </w:r>
    </w:p>
    <w:p>
      <w:pPr>
        <w:pStyle w:val="ListParagraph"/>
        <w:numPr>
          <w:ilvl w:val="0"/>
          <w:numId w:val="1"/>
        </w:numPr>
        <w:spacing w:line="360" w:after="80"/>
      </w:pPr>
      <w:r>
        <w:t xml:space="preserve">Rewrite the privacy policy to include all APP 1 and GDPR Article 13/14 required elements.</w:t>
      </w:r>
    </w:p>
    <w:p>
      <w:pPr>
        <w:pStyle w:val="ListParagraph"/>
        <w:numPr>
          <w:ilvl w:val="0"/>
          <w:numId w:val="1"/>
        </w:numPr>
        <w:spacing w:line="360" w:after="80"/>
      </w:pPr>
      <w:r>
        <w:t xml:space="preserve">Add collection notices (short-form privacy statements) to all six form types.</w:t>
      </w:r>
    </w:p>
    <w:p>
      <w:pPr>
        <w:pStyle w:val="ListParagraph"/>
        <w:numPr>
          <w:ilvl w:val="0"/>
          <w:numId w:val="1"/>
        </w:numPr>
        <w:spacing w:line="360" w:after="80"/>
      </w:pPr>
      <w:r>
        <w:t xml:space="preserve">Implement a cookie consent banner using a compliant CMP (e.g., Cookiebot, OneTrust, or open-source alternative).</w:t>
      </w:r>
    </w:p>
    <w:p>
      <w:pPr>
        <w:pStyle w:val="ListParagraph"/>
        <w:numPr>
          <w:ilvl w:val="0"/>
          <w:numId w:val="1"/>
        </w:numPr>
        <w:spacing w:line="360" w:after="80"/>
      </w:pPr>
      <w:r>
        <w:t xml:space="preserve">Move Power Automate SAS tokens from config.js to a server-side proxy or environment variable solution.</w:t>
      </w:r>
    </w:p>
    <w:p>
      <w:pPr>
        <w:pStyle w:val="ListParagraph"/>
        <w:numPr>
          <w:ilvl w:val="0"/>
          <w:numId w:val="1"/>
        </w:numPr>
        <w:spacing w:line="360" w:after="80"/>
      </w:pPr>
      <w:r>
        <w:t xml:space="preserve">Add explicit health information consent to the referral form with granular checkboxes.</w:t>
      </w:r>
    </w:p>
    <w:p>
      <w:pPr>
        <w:pStyle w:val="Heading3"/>
        <w:spacing w:line="360" w:before="200" w:after="100"/>
      </w:pPr>
      <w:r>
        <w:t xml:space="preserve">Phase 2 — Short-Term (30–90 Days)</w:t>
      </w:r>
    </w:p>
    <w:p>
      <w:pPr>
        <w:pStyle w:val="ListParagraph"/>
        <w:numPr>
          <w:ilvl w:val="0"/>
          <w:numId w:val="1"/>
        </w:numPr>
        <w:spacing w:line="360" w:after="80"/>
      </w:pPr>
      <w:r>
        <w:t xml:space="preserve">Execute Data Processing Agreements with Microsoft, Jotform, Google, SiteGround, and YouTube.</w:t>
      </w:r>
    </w:p>
    <w:p>
      <w:pPr>
        <w:pStyle w:val="ListParagraph"/>
        <w:numPr>
          <w:ilvl w:val="0"/>
          <w:numId w:val="1"/>
        </w:numPr>
        <w:spacing w:line="360" w:after="80"/>
      </w:pPr>
      <w:r>
        <w:t xml:space="preserve">Implement a data subject rights request mechanism (dedicated email or online form).</w:t>
      </w:r>
    </w:p>
    <w:p>
      <w:pPr>
        <w:pStyle w:val="ListParagraph"/>
        <w:numPr>
          <w:ilvl w:val="0"/>
          <w:numId w:val="1"/>
        </w:numPr>
        <w:spacing w:line="360" w:after="80"/>
      </w:pPr>
      <w:r>
        <w:t xml:space="preserve">Self-host Google Fonts to eliminate IP transmission to Google servers.</w:t>
      </w:r>
    </w:p>
    <w:p>
      <w:pPr>
        <w:pStyle w:val="ListParagraph"/>
        <w:numPr>
          <w:ilvl w:val="0"/>
          <w:numId w:val="1"/>
        </w:numPr>
        <w:spacing w:line="360" w:after="80"/>
      </w:pPr>
      <w:r>
        <w:t xml:space="preserve">Document a data retention schedule for each category of personal information.</w:t>
      </w:r>
    </w:p>
    <w:p>
      <w:pPr>
        <w:pStyle w:val="ListParagraph"/>
        <w:numPr>
          <w:ilvl w:val="0"/>
          <w:numId w:val="1"/>
        </w:numPr>
        <w:spacing w:line="360" w:after="80"/>
      </w:pPr>
      <w:r>
        <w:t xml:space="preserve">Create a data breach response plan compliant with the Notifiable Data Breaches scheme and GDPR Article 33.</w:t>
      </w:r>
    </w:p>
    <w:p>
      <w:pPr>
        <w:pStyle w:val="Heading3"/>
        <w:spacing w:line="360" w:before="200" w:after="100"/>
      </w:pPr>
      <w:r>
        <w:t xml:space="preserve">Phase 3 — Medium-Term (90–180 Days)</w:t>
      </w:r>
    </w:p>
    <w:p>
      <w:pPr>
        <w:pStyle w:val="ListParagraph"/>
        <w:numPr>
          <w:ilvl w:val="0"/>
          <w:numId w:val="1"/>
        </w:numPr>
        <w:spacing w:line="360" w:after="80"/>
      </w:pPr>
      <w:r>
        <w:t xml:space="preserve">Conduct a Privacy Impact Assessment (PIA) for the referral form workflow.</w:t>
      </w:r>
    </w:p>
    <w:p>
      <w:pPr>
        <w:pStyle w:val="ListParagraph"/>
        <w:numPr>
          <w:ilvl w:val="0"/>
          <w:numId w:val="1"/>
        </w:numPr>
        <w:spacing w:line="360" w:after="80"/>
      </w:pPr>
      <w:r>
        <w:t xml:space="preserve">Implement a Record of Processing Activities (ROPA) as required by GDPR Article 30.</w:t>
      </w:r>
    </w:p>
    <w:p>
      <w:pPr>
        <w:pStyle w:val="ListParagraph"/>
        <w:numPr>
          <w:ilvl w:val="0"/>
          <w:numId w:val="1"/>
        </w:numPr>
        <w:spacing w:line="360" w:after="80"/>
      </w:pPr>
      <w:r>
        <w:t xml:space="preserve">Appoint a privacy officer or DPO and publish contact details.</w:t>
      </w:r>
    </w:p>
    <w:p>
      <w:pPr>
        <w:pStyle w:val="ListParagraph"/>
        <w:numPr>
          <w:ilvl w:val="0"/>
          <w:numId w:val="1"/>
        </w:numPr>
        <w:spacing w:line="360" w:after="80"/>
      </w:pPr>
      <w:r>
        <w:t xml:space="preserve">Review and update the Terms of Use to align with the updated privacy policy.</w:t>
      </w:r>
    </w:p>
    <w:p>
      <w:pPr>
        <w:pStyle w:val="ListParagraph"/>
        <w:numPr>
          <w:ilvl w:val="0"/>
          <w:numId w:val="1"/>
        </w:numPr>
        <w:spacing w:line="360" w:after="80"/>
      </w:pPr>
      <w:r>
        <w:t xml:space="preserve">Conduct penetration testing focused on the Power Automate integration and form submission workflow.</w:t>
      </w:r>
    </w:p>
    <w:r>
      <w:br w:type="page"/>
    </w:r>
    <w:p>
      <w:pPr>
        <w:pStyle w:val="Heading2"/>
        <w:spacing w:line="360" w:before="400" w:after="200"/>
      </w:pPr>
      <w:r>
        <w:t xml:space="preserve">8. COMPLIANCE CONFIDENCE AND LIMITATIONS</w:t>
      </w:r>
    </w:p>
    <w:p>
      <w:pPr>
        <w:spacing w:line="360" w:after="100"/>
      </w:pPr>
      <w:r>
        <w:t xml:space="preserve">This assessment is based solely on the client-side codebase provided. The following limitations apply:</w:t>
      </w:r>
    </w:p>
    <w:p>
      <w:pPr>
        <w:spacing w:after="100"/>
      </w:pPr>
      <w:r>
        <w:rPr>
          <w:b/>
          <w:bCs/>
        </w:rPr>
        <w:t xml:space="preserve">Server-side processing: </w:t>
      </w:r>
      <w:r>
        <w:t xml:space="preserve">This review covers the static HTML/JS/CSS site. Backend processing within Power Automate workflows, Microsoft 365 environment, or other server-side systems was not reviewed. Additional compliance gaps may exist in backend data handling.</w:t>
      </w:r>
    </w:p>
    <w:p>
      <w:pPr>
        <w:spacing w:after="100"/>
      </w:pPr>
      <w:r>
        <w:rPr>
          <w:b/>
          <w:bCs/>
        </w:rPr>
        <w:t xml:space="preserve">Privacy policy completeness: </w:t>
      </w:r>
      <w:r>
        <w:t xml:space="preserve">The privacy policy reviewed is the version published on the website. Cross Care Group may have separate, more comprehensive privacy policies for clinical operations that were not provided for review.</w:t>
      </w:r>
    </w:p>
    <w:p>
      <w:pPr>
        <w:spacing w:after="100"/>
      </w:pPr>
      <w:r>
        <w:rPr>
          <w:b/>
          <w:bCs/>
        </w:rPr>
        <w:t xml:space="preserve">Dynamic form content: </w:t>
      </w:r>
      <w:r>
        <w:t xml:space="preserve">The referral form uses a wizard-style interface that builds dynamically based on user selections. The full range of collected fields may exceed what was visible in the static HTML review.</w:t>
      </w:r>
    </w:p>
    <w:p>
      <w:pPr>
        <w:spacing w:after="100"/>
      </w:pPr>
      <w:r>
        <w:rPr>
          <w:b/>
          <w:bCs/>
        </w:rPr>
        <w:t xml:space="preserve">Third-party services: </w:t>
      </w:r>
      <w:r>
        <w:t xml:space="preserve">The actual data processing practices of third-party services (Microsoft, Jotform, Google, SiteGround) were not independently verified.</w:t>
      </w:r>
    </w:p>
    <w:p>
      <w:pPr>
        <w:spacing w:after="100"/>
      </w:pPr>
      <w:r>
        <w:rPr>
          <w:b/>
          <w:bCs/>
        </w:rPr>
        <w:t xml:space="preserve">Regulatory guidance: </w:t>
      </w:r>
      <w:r>
        <w:t xml:space="preserve">This assessment reflects Australian Privacy Act and GDPR requirements as of February 2026. Regulatory guidance may change, and this assessment does not constitute legal advice.</w:t>
      </w:r>
    </w:p>
    <w:p>
      <w:pPr>
        <w:spacing w:after="200"/>
      </w:pPr>
      <w:r>
        <w:rPr>
          <w:b/>
          <w:bCs/>
        </w:rPr>
        <w:t xml:space="preserve">Confidence Level: </w:t>
      </w:r>
      <w:r>
        <w:t xml:space="preserve">MODERATE. The codebase review was comprehensive, but server-side and operational compliance could not be assessed.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p>
    <w:pPr>
      <w:spacing w:before="100"/>
      <w:jc w:val="center"/>
    </w:pPr>
    <w:r>
      <w:t xml:space="preserve">Page </w:t>
    </w:r>
    <w: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B5C" w:sz="6" w:space="1"/>
      </w:pBdr>
      <w:spacing w:after="100"/>
      <w:jc w:val="center"/>
    </w:pPr>
    <w:r>
      <w:t xml:space="preserve">Cross Care Group — Privacy Compliance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2026-02-16T02:20:04.126Z</dcterms:created>
  <dcterms:modified xsi:type="dcterms:W3CDTF">2026-02-16T02:20:04.127Z</dcterms:modified>
</cp:coreProperties>
</file>

<file path=docProps/custom.xml><?xml version="1.0" encoding="utf-8"?>
<Properties xmlns="http://schemas.openxmlformats.org/officeDocument/2006/custom-properties" xmlns:vt="http://schemas.openxmlformats.org/officeDocument/2006/docPropsVTypes"/>
</file>