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03B5C"/>
          <w:sz w:val="48"/>
          <w:szCs w:val="48"/>
        </w:rPr>
        <w:t xml:space="preserve">PRIVACY &amp; DATA PROTECTION</w:t>
      </w:r>
    </w:p>
    <w:p>
      <w:pPr>
        <w:spacing w:after="200"/>
        <w:jc w:val="center"/>
      </w:pPr>
      <w:r>
        <w:rPr>
          <w:rFonts w:ascii="Arial" w:cs="Arial" w:eastAsia="Arial" w:hAnsi="Arial"/>
          <w:b/>
          <w:bCs/>
          <w:color w:val="003B5C"/>
          <w:sz w:val="48"/>
          <w:szCs w:val="48"/>
        </w:rPr>
        <w:t xml:space="preserve">COMPLIANCE ASSESSMENT</w:t>
      </w:r>
    </w:p>
    <w:p>
      <w:pPr>
        <w:pBdr>
          <w:bottom w:val="single" w:color="0096A1" w:sz="6" w:space="1"/>
        </w:pBdr>
        <w:spacing w:after="100"/>
        <w:jc w:val="center"/>
      </w:pPr>
      <w:r>
        <w:rPr>
          <w:rFonts w:ascii="Arial" w:cs="Arial" w:eastAsia="Arial" w:hAnsi="Arial"/>
          <w:sz w:val="12"/>
          <w:szCs w:val="12"/>
        </w:rPr>
        <w:t xml:space="preserve"> </w:t>
      </w:r>
    </w:p>
    <w:p>
      <w:pPr>
        <w:spacing w:after="200"/>
      </w:pPr>
    </w:p>
    <w:p>
      <w:pPr>
        <w:spacing w:after="100"/>
        <w:jc w:val="center"/>
      </w:pPr>
      <w:r>
        <w:rPr>
          <w:rFonts w:ascii="Arial" w:cs="Arial" w:eastAsia="Arial" w:hAnsi="Arial"/>
          <w:b/>
          <w:bCs/>
          <w:color w:val="0096A1"/>
          <w:sz w:val="32"/>
          <w:szCs w:val="32"/>
        </w:rPr>
        <w:t xml:space="preserve">Cross Care Group</w:t>
      </w:r>
    </w:p>
    <w:p>
      <w:pPr>
        <w:spacing w:after="60"/>
        <w:jc w:val="center"/>
      </w:pPr>
      <w:r>
        <w:rPr>
          <w:rFonts w:ascii="Arial" w:cs="Arial" w:eastAsia="Arial" w:hAnsi="Arial"/>
          <w:color w:val="64748B"/>
          <w:sz w:val="22"/>
          <w:szCs w:val="22"/>
        </w:rPr>
        <w:t xml:space="preserve">https://testing.crosscaregroup.com.au</w:t>
      </w:r>
    </w:p>
    <w:p>
      <w:pPr>
        <w:spacing w:after="600"/>
      </w:pPr>
    </w:p>
    <w:p>
      <w:pPr>
        <w:spacing w:after="100"/>
        <w:jc w:val="center"/>
      </w:pPr>
      <w:r>
        <w:rPr>
          <w:rFonts w:ascii="Arial" w:cs="Arial" w:eastAsia="Arial" w:hAnsi="Arial"/>
          <w:color w:val="003B5C"/>
          <w:sz w:val="24"/>
          <w:szCs w:val="24"/>
        </w:rPr>
        <w:t xml:space="preserve">Runtime &amp; Source Code Analysis</w:t>
      </w:r>
    </w:p>
    <w:p>
      <w:pPr>
        <w:spacing w:after="100"/>
        <w:jc w:val="center"/>
      </w:pPr>
      <w:r>
        <w:rPr>
          <w:rFonts w:ascii="Arial" w:cs="Arial" w:eastAsia="Arial" w:hAnsi="Arial"/>
          <w:color w:val="64748B"/>
          <w:sz w:val="22"/>
          <w:szCs w:val="22"/>
        </w:rPr>
        <w:t xml:space="preserve">Australian Privacy Act 1988 (APPs) | EU GDPR</w:t>
      </w:r>
    </w:p>
    <w:p>
      <w:pPr>
        <w:spacing w:after="300"/>
        <w:jc w:val="center"/>
      </w:pPr>
      <w:r>
        <w:rPr>
          <w:rFonts w:ascii="Arial" w:cs="Arial" w:eastAsia="Arial" w:hAnsi="Arial"/>
          <w:color w:val="64748B"/>
          <w:sz w:val="22"/>
          <w:szCs w:val="22"/>
        </w:rPr>
        <w:t xml:space="preserve">February 2026</w:t>
      </w:r>
    </w:p>
    <w:p>
      <w:pPr>
        <w:jc w:val="center"/>
      </w:pPr>
      <w:r>
        <w:rPr>
          <w:rFonts w:ascii="Arial" w:cs="Arial" w:eastAsia="Arial" w:hAnsi="Arial"/>
          <w:b/>
          <w:bCs/>
          <w:color w:val="DC2626"/>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rPr>
          <w:rFonts w:ascii="Arial" w:cs="Arial" w:eastAsia="Arial" w:hAnsi="Arial"/>
        </w:rPr>
        <w:t xml:space="preserve">1. Executive Summary</w:t>
      </w:r>
    </w:p>
    <w:p>
      <w:pPr>
        <w:spacing w:after="120"/>
      </w:pPr>
      <w:r>
        <w:rPr>
          <w:rFonts w:ascii="Arial" w:cs="Arial" w:eastAsia="Arial" w:hAnsi="Arial"/>
          <w:sz w:val="20"/>
          <w:szCs w:val="20"/>
        </w:rPr>
        <w:t xml:space="preserve">This report presents the findings of a comprehensive privacy and data protection compliance assessment conducted on the Cross Care Group website (testing.crosscaregroup.com.au). The assessment evaluated both the static source code and runtime behaviour against the Australian Privacy Act 1988 (Australian Privacy Principles 1–13), the EU General Data Protection Regulation (GDPR), and industry best practices for healthcare data protection.</w:t>
      </w:r>
    </w:p>
    <w:p>
      <w:pPr>
        <w:spacing w:after="120"/>
      </w:pPr>
      <w:r>
        <w:rPr>
          <w:rFonts w:ascii="Arial" w:cs="Arial" w:eastAsia="Arial" w:hAnsi="Arial"/>
          <w:sz w:val="20"/>
          <w:szCs w:val="20"/>
        </w:rPr>
        <w:t xml:space="preserve">Cross Care Group operates as a healthcare services provider collecting highly sensitive personal and health information, including NDIS participant data, medical diagnoses, clinical referral details, and contact information. This data classification places the organisation under heightened regulatory obligations.</w:t>
      </w:r>
    </w:p>
    <w:p>
      <w:pPr>
        <w:pStyle w:val="Heading3"/>
        <w:spacing w:before="300" w:after="150"/>
      </w:pPr>
      <w:r>
        <w:rPr>
          <w:rFonts w:ascii="Arial" w:cs="Arial" w:eastAsia="Arial" w:hAnsi="Arial"/>
        </w:rPr>
        <w:t xml:space="preserve">Overall Compliance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208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208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Grade</w:t>
            </w:r>
          </w:p>
        </w:tc>
        <w:tc>
          <w:tcPr>
            <w:tcW w:type="dxa" w:w="208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r>
      <w:tr>
        <w:tc>
          <w:tcPr>
            <w:tcW w:type="dxa" w:w="312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Cookie / Tracking Consent</w:t>
            </w:r>
          </w:p>
        </w:tc>
        <w:tc>
          <w:tcPr>
            <w:tcW w:type="dxa" w:w="208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20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DC2626"/>
                <w:sz w:val="18"/>
                <w:szCs w:val="18"/>
              </w:rPr>
              <w:t xml:space="preserve">D</w:t>
            </w:r>
          </w:p>
        </w:tc>
        <w:tc>
          <w:tcPr>
            <w:tcW w:type="dxa" w:w="208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CRITICAL</w:t>
            </w:r>
          </w:p>
        </w:tc>
      </w:tr>
      <w:tr>
        <w:tc>
          <w:tcPr>
            <w:tcW w:type="dxa" w:w="312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Privacy Policy</w:t>
            </w:r>
          </w:p>
        </w:tc>
        <w:tc>
          <w:tcPr>
            <w:tcW w:type="dxa" w:w="208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20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DC2626"/>
                <w:sz w:val="18"/>
                <w:szCs w:val="18"/>
              </w:rPr>
              <w:t xml:space="preserve">D+</w:t>
            </w:r>
          </w:p>
        </w:tc>
        <w:tc>
          <w:tcPr>
            <w:tcW w:type="dxa" w:w="208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CRITICAL</w:t>
            </w:r>
          </w:p>
        </w:tc>
      </w:tr>
      <w:tr>
        <w:tc>
          <w:tcPr>
            <w:tcW w:type="dxa" w:w="312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Form Consent Mechanisms</w:t>
            </w:r>
          </w:p>
        </w:tc>
        <w:tc>
          <w:tcPr>
            <w:tcW w:type="dxa" w:w="208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Partial</w:t>
            </w:r>
          </w:p>
        </w:tc>
        <w:tc>
          <w:tcPr>
            <w:tcW w:type="dxa" w:w="20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D97706"/>
                <w:sz w:val="18"/>
                <w:szCs w:val="18"/>
              </w:rPr>
              <w:t xml:space="preserve">C</w:t>
            </w:r>
          </w:p>
        </w:tc>
        <w:tc>
          <w:tcPr>
            <w:tcW w:type="dxa" w:w="208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HIGH</w:t>
            </w:r>
          </w:p>
        </w:tc>
      </w:tr>
      <w:tr>
        <w:tc>
          <w:tcPr>
            <w:tcW w:type="dxa" w:w="312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Third-Party Disclosures</w:t>
            </w:r>
          </w:p>
        </w:tc>
        <w:tc>
          <w:tcPr>
            <w:tcW w:type="dxa" w:w="208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20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DC2626"/>
                <w:sz w:val="18"/>
                <w:szCs w:val="18"/>
              </w:rPr>
              <w:t xml:space="preserve">D</w:t>
            </w:r>
          </w:p>
        </w:tc>
        <w:tc>
          <w:tcPr>
            <w:tcW w:type="dxa" w:w="208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CRITICAL</w:t>
            </w:r>
          </w:p>
        </w:tc>
      </w:tr>
      <w:tr>
        <w:tc>
          <w:tcPr>
            <w:tcW w:type="dxa" w:w="312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Security Headers &amp; CSP</w:t>
            </w:r>
          </w:p>
        </w:tc>
        <w:tc>
          <w:tcPr>
            <w:tcW w:type="dxa" w:w="208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Partial</w:t>
            </w:r>
          </w:p>
        </w:tc>
        <w:tc>
          <w:tcPr>
            <w:tcW w:type="dxa" w:w="20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16A34A"/>
                <w:sz w:val="18"/>
                <w:szCs w:val="18"/>
              </w:rPr>
              <w:t xml:space="preserve">B−</w:t>
            </w:r>
          </w:p>
        </w:tc>
        <w:tc>
          <w:tcPr>
            <w:tcW w:type="dxa" w:w="208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B45309"/>
                <w:sz w:val="18"/>
                <w:szCs w:val="18"/>
              </w:rPr>
              <w:t xml:space="preserve">MEDIUM</w:t>
            </w:r>
          </w:p>
        </w:tc>
      </w:tr>
      <w:tr>
        <w:tc>
          <w:tcPr>
            <w:tcW w:type="dxa" w:w="312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Data Flow Transparency</w:t>
            </w:r>
          </w:p>
        </w:tc>
        <w:tc>
          <w:tcPr>
            <w:tcW w:type="dxa" w:w="208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Partial</w:t>
            </w:r>
          </w:p>
        </w:tc>
        <w:tc>
          <w:tcPr>
            <w:tcW w:type="dxa" w:w="20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D97706"/>
                <w:sz w:val="18"/>
                <w:szCs w:val="18"/>
              </w:rPr>
              <w:t xml:space="preserve">C</w:t>
            </w:r>
          </w:p>
        </w:tc>
        <w:tc>
          <w:tcPr>
            <w:tcW w:type="dxa" w:w="208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HIGH</w:t>
            </w:r>
          </w:p>
        </w:tc>
      </w:tr>
      <w:tr>
        <w:tc>
          <w:tcPr>
            <w:tcW w:type="dxa" w:w="312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API / Token Security</w:t>
            </w:r>
          </w:p>
        </w:tc>
        <w:tc>
          <w:tcPr>
            <w:tcW w:type="dxa" w:w="208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20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DC2626"/>
                <w:sz w:val="18"/>
                <w:szCs w:val="18"/>
              </w:rPr>
              <w:t xml:space="preserve">D</w:t>
            </w:r>
          </w:p>
        </w:tc>
        <w:tc>
          <w:tcPr>
            <w:tcW w:type="dxa" w:w="208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CRITICAL</w:t>
            </w:r>
          </w:p>
        </w:tc>
      </w:tr>
      <w:tr>
        <w:tc>
          <w:tcPr>
            <w:tcW w:type="dxa" w:w="312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Sensitive Data Handling</w:t>
            </w:r>
          </w:p>
        </w:tc>
        <w:tc>
          <w:tcPr>
            <w:tcW w:type="dxa" w:w="208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Partial</w:t>
            </w:r>
          </w:p>
        </w:tc>
        <w:tc>
          <w:tcPr>
            <w:tcW w:type="dxa" w:w="20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bCs/>
                <w:color w:val="16A34A"/>
                <w:sz w:val="18"/>
                <w:szCs w:val="18"/>
              </w:rPr>
              <w:t xml:space="preserve">B−</w:t>
            </w:r>
          </w:p>
        </w:tc>
        <w:tc>
          <w:tcPr>
            <w:tcW w:type="dxa" w:w="208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B45309"/>
                <w:sz w:val="18"/>
                <w:szCs w:val="18"/>
              </w:rPr>
              <w:t xml:space="preserve">MEDIUM</w:t>
            </w:r>
          </w:p>
        </w:tc>
      </w:tr>
    </w:tbl>
    <w:p>
      <w:pPr>
        <w:spacing w:after="120"/>
      </w:pPr>
      <w:r>
        <w:rPr>
          <w:rFonts w:ascii="Arial" w:cs="Arial" w:eastAsia="Arial" w:hAnsi="Arial"/>
          <w:sz w:val="20"/>
          <w:szCs w:val="20"/>
        </w:rPr>
        <w:t xml:space="preserve"> </w:t>
      </w:r>
    </w:p>
    <w:p>
      <w:pPr>
        <w:spacing w:after="100"/>
      </w:pPr>
      <w:r>
        <w:rPr>
          <w:rFonts w:ascii="Arial" w:cs="Arial" w:eastAsia="Arial" w:hAnsi="Arial"/>
          <w:b/>
          <w:bCs/>
          <w:sz w:val="20"/>
          <w:szCs w:val="20"/>
        </w:rPr>
        <w:t xml:space="preserve">Overall Assessment: </w:t>
      </w:r>
      <w:r>
        <w:rPr>
          <w:rFonts w:ascii="Arial" w:cs="Arial" w:eastAsia="Arial" w:hAnsi="Arial"/>
          <w:sz w:val="20"/>
          <w:szCs w:val="20"/>
        </w:rPr>
        <w:t xml:space="preserve">NON-COMPLIANT — The website presents significant regulatory risk under both frameworks. Immediate remediation is recommended before further public deployment.</w:t>
      </w:r>
    </w:p>
    <w:p>
      <w:r>
        <w:br w:type="page"/>
      </w:r>
    </w:p>
    <w:p>
      <w:pPr>
        <w:pStyle w:val="Heading1"/>
        <w:spacing w:before="300" w:after="150"/>
      </w:pPr>
      <w:r>
        <w:rPr>
          <w:rFonts w:ascii="Arial" w:cs="Arial" w:eastAsia="Arial" w:hAnsi="Arial"/>
        </w:rPr>
        <w:t xml:space="preserve">2. Scope &amp; Methodology</w:t>
      </w:r>
    </w:p>
    <w:p>
      <w:pPr>
        <w:pStyle w:val="Heading2"/>
        <w:spacing w:before="300" w:after="150"/>
      </w:pPr>
      <w:r>
        <w:rPr>
          <w:rFonts w:ascii="Arial" w:cs="Arial" w:eastAsia="Arial" w:hAnsi="Arial"/>
        </w:rPr>
        <w:t xml:space="preserve">2.1 Scope</w:t>
      </w:r>
    </w:p>
    <w:p>
      <w:pPr>
        <w:spacing w:after="120"/>
      </w:pPr>
      <w:r>
        <w:rPr>
          <w:rFonts w:ascii="Arial" w:cs="Arial" w:eastAsia="Arial" w:hAnsi="Arial"/>
          <w:sz w:val="20"/>
          <w:szCs w:val="20"/>
        </w:rPr>
        <w:t xml:space="preserve">The assessment covered the full website codebase deployed at testing.crosscaregroup.com.au, including 48 HTML pages, 10 JavaScript files, CSS assets, server configuration (.htaccess), deployment pipelines (.github/workflows), and security documentation. Both static source analysis and runtime-equivalent behavioural analysis were performed.</w:t>
      </w:r>
    </w:p>
    <w:p>
      <w:pPr>
        <w:pStyle w:val="Heading2"/>
        <w:spacing w:before="300" w:after="150"/>
      </w:pPr>
      <w:r>
        <w:rPr>
          <w:rFonts w:ascii="Arial" w:cs="Arial" w:eastAsia="Arial" w:hAnsi="Arial"/>
        </w:rPr>
        <w:t xml:space="preserve">2.2 Frameworks Applied</w:t>
      </w:r>
    </w:p>
    <w:p>
      <w:pPr>
        <w:pStyle w:val="ListParagraph"/>
        <w:numPr>
          <w:ilvl w:val="0"/>
          <w:numId w:val="2"/>
        </w:numPr>
        <w:spacing w:after="80"/>
      </w:pPr>
      <w:r>
        <w:rPr>
          <w:rFonts w:ascii="Arial" w:cs="Arial" w:eastAsia="Arial" w:hAnsi="Arial"/>
          <w:sz w:val="20"/>
          <w:szCs w:val="20"/>
        </w:rPr>
        <w:t xml:space="preserve">Australian Privacy Act 1988 — Australian Privacy Principles (APPs 1–13)</w:t>
      </w:r>
    </w:p>
    <w:p>
      <w:pPr>
        <w:pStyle w:val="ListParagraph"/>
        <w:numPr>
          <w:ilvl w:val="0"/>
          <w:numId w:val="2"/>
        </w:numPr>
        <w:spacing w:after="80"/>
      </w:pPr>
      <w:r>
        <w:rPr>
          <w:rFonts w:ascii="Arial" w:cs="Arial" w:eastAsia="Arial" w:hAnsi="Arial"/>
          <w:sz w:val="20"/>
          <w:szCs w:val="20"/>
        </w:rPr>
        <w:t xml:space="preserve">EU General Data Protection Regulation (GDPR) — Articles 5–49</w:t>
      </w:r>
    </w:p>
    <w:p>
      <w:pPr>
        <w:pStyle w:val="ListParagraph"/>
        <w:numPr>
          <w:ilvl w:val="0"/>
          <w:numId w:val="2"/>
        </w:numPr>
        <w:spacing w:after="80"/>
      </w:pPr>
      <w:r>
        <w:rPr>
          <w:rFonts w:ascii="Arial" w:cs="Arial" w:eastAsia="Arial" w:hAnsi="Arial"/>
          <w:sz w:val="20"/>
          <w:szCs w:val="20"/>
        </w:rPr>
        <w:t xml:space="preserve">OWASP Top 10 (2021) — Web Application Security</w:t>
      </w:r>
    </w:p>
    <w:p>
      <w:pPr>
        <w:pStyle w:val="ListParagraph"/>
        <w:numPr>
          <w:ilvl w:val="0"/>
          <w:numId w:val="2"/>
        </w:numPr>
        <w:spacing w:after="80"/>
      </w:pPr>
      <w:r>
        <w:rPr>
          <w:rFonts w:ascii="Arial" w:cs="Arial" w:eastAsia="Arial" w:hAnsi="Arial"/>
          <w:sz w:val="20"/>
          <w:szCs w:val="20"/>
        </w:rPr>
        <w:t xml:space="preserve">Australian Notifiable Data Breaches (NDB) Scheme</w:t>
      </w:r>
    </w:p>
    <w:p>
      <w:pPr>
        <w:pStyle w:val="Heading2"/>
        <w:spacing w:before="300" w:after="150"/>
      </w:pPr>
      <w:r>
        <w:rPr>
          <w:rFonts w:ascii="Arial" w:cs="Arial" w:eastAsia="Arial" w:hAnsi="Arial"/>
        </w:rPr>
        <w:t xml:space="preserve">2.3 Methodology</w:t>
      </w:r>
    </w:p>
    <w:p>
      <w:pPr>
        <w:spacing w:after="120"/>
      </w:pPr>
      <w:r>
        <w:rPr>
          <w:rFonts w:ascii="Arial" w:cs="Arial" w:eastAsia="Arial" w:hAnsi="Arial"/>
          <w:sz w:val="20"/>
          <w:szCs w:val="20"/>
        </w:rPr>
        <w:t xml:space="preserve">Source code analysis of all HTML, JavaScript, and configuration files. Runtime header and cookie analysis via HTTP inspection. Form-by-form assessment of data collection, consent, and disclosure practices. Data flow tracing from form submission through Power Automate API endpoints. Third-party script and resource audit across all pages.</w:t>
      </w:r>
    </w:p>
    <w:p>
      <w:r>
        <w:br w:type="page"/>
      </w:r>
    </w:p>
    <w:p>
      <w:pPr>
        <w:pStyle w:val="Heading1"/>
        <w:spacing w:before="300" w:after="150"/>
      </w:pPr>
      <w:r>
        <w:rPr>
          <w:rFonts w:ascii="Arial" w:cs="Arial" w:eastAsia="Arial" w:hAnsi="Arial"/>
        </w:rPr>
        <w:t xml:space="preserve">3. Cookie &amp; Tracking Analysis</w:t>
      </w:r>
    </w:p>
    <w:p>
      <w:pPr>
        <w:pStyle w:val="Heading2"/>
        <w:spacing w:before="300" w:after="150"/>
      </w:pPr>
      <w:r>
        <w:rPr>
          <w:rFonts w:ascii="Arial" w:cs="Arial" w:eastAsia="Arial" w:hAnsi="Arial"/>
        </w:rPr>
        <w:t xml:space="preserve">3.1 Cookie Consent Mechanism</w:t>
      </w:r>
    </w:p>
    <w:p>
      <w:pPr>
        <w:spacing w:after="100"/>
      </w:pPr>
      <w:r>
        <w:rPr>
          <w:rFonts w:ascii="Arial" w:cs="Arial" w:eastAsia="Arial" w:hAnsi="Arial"/>
          <w:b/>
          <w:bCs/>
          <w:sz w:val="20"/>
          <w:szCs w:val="20"/>
        </w:rPr>
        <w:t xml:space="preserve">Finding: </w:t>
      </w:r>
      <w:r>
        <w:rPr>
          <w:rFonts w:ascii="Arial" w:cs="Arial" w:eastAsia="Arial" w:hAnsi="Arial"/>
          <w:sz w:val="20"/>
          <w:szCs w:val="20"/>
        </w:rPr>
        <w:t xml:space="preserve">NO cookie consent banner or Consent Management Platform (CMP) is deployed on the website.</w:t>
      </w:r>
    </w:p>
    <w:p>
      <w:pPr>
        <w:spacing w:after="120"/>
      </w:pPr>
      <w:r>
        <w:rPr>
          <w:rFonts w:ascii="Arial" w:cs="Arial" w:eastAsia="Arial" w:hAnsi="Arial"/>
          <w:sz w:val="20"/>
          <w:szCs w:val="20"/>
        </w:rPr>
        <w:t xml:space="preserve">No cookie consent popup, banner, or preference centre was detected on any page. Users are not given the ability to accept, reject, or manage cookie preferences before or during their visit. Under GDPR Article 7 and the ePrivacy Directive, prior informed consent is required before setting non-essential cookies. Under the Australian Privacy Act, collection notices are required under APP 5.</w:t>
      </w:r>
    </w:p>
    <w:p>
      <w:pPr>
        <w:pStyle w:val="Heading2"/>
        <w:spacing w:before="300" w:after="150"/>
      </w:pPr>
      <w:r>
        <w:rPr>
          <w:rFonts w:ascii="Arial" w:cs="Arial" w:eastAsia="Arial" w:hAnsi="Arial"/>
        </w:rPr>
        <w:t xml:space="preserve">3.2 Cookies and Storage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Mechanism</w:t>
            </w:r>
          </w:p>
        </w:tc>
        <w:tc>
          <w:tcPr>
            <w:tcW w:type="dxa" w:w="20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c>
          <w:tcPr>
            <w:tcW w:type="dxa" w:w="268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268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document.cookie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Not Used</w:t>
            </w:r>
          </w:p>
        </w:tc>
        <w:tc>
          <w:tcPr>
            <w:tcW w:type="dxa" w:w="2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JavaScript cookie operations detected</w:t>
            </w:r>
          </w:p>
        </w:tc>
        <w:tc>
          <w:tcPr>
            <w:tcW w:type="dxa" w:w="2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Low</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localStorage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Not Used</w:t>
            </w:r>
          </w:p>
        </w:tc>
        <w:tc>
          <w:tcPr>
            <w:tcW w:type="dxa" w:w="2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localStorage operations detected</w:t>
            </w:r>
          </w:p>
        </w:tc>
        <w:tc>
          <w:tcPr>
            <w:tcW w:type="dxa" w:w="2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6A34A"/>
                <w:sz w:val="18"/>
                <w:szCs w:val="18"/>
              </w:rPr>
              <w:t xml:space="preserve">Low</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sessionStorage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Used (auth.js)</w:t>
            </w:r>
          </w:p>
        </w:tc>
        <w:tc>
          <w:tcPr>
            <w:tcW w:type="dxa" w:w="2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OIDC/PKCE authentication tokens and state parameters</w:t>
            </w:r>
          </w:p>
        </w:tc>
        <w:tc>
          <w:tcPr>
            <w:tcW w:type="dxa" w:w="2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Medium — XSS could expose tokens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Server Set-Cookie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Not configured</w:t>
            </w:r>
          </w:p>
        </w:tc>
        <w:tc>
          <w:tcPr>
            <w:tcW w:type="dxa" w:w="2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Set-Cookie directives in .htaccess</w:t>
            </w:r>
          </w:p>
        </w:tc>
        <w:tc>
          <w:tcPr>
            <w:tcW w:type="dxa" w:w="2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Note: hosting provider (SiteGround) may set session cookies at server level</w:t>
            </w:r>
          </w:p>
        </w:tc>
      </w:tr>
    </w:tbl>
    <w:p>
      <w:pPr>
        <w:pStyle w:val="Heading2"/>
        <w:spacing w:before="300" w:after="150"/>
      </w:pPr>
      <w:r>
        <w:rPr>
          <w:rFonts w:ascii="Arial" w:cs="Arial" w:eastAsia="Arial" w:hAnsi="Arial"/>
        </w:rPr>
        <w:t xml:space="preserve">3.3 Third-Party Trackers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360"/>
        <w:gridCol w:w="1500"/>
        <w:gridCol w:w="2000"/>
      </w:tblGrid>
      <w:tr>
        <w:tc>
          <w:tcPr>
            <w:tcW w:type="dxa" w:w="20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w:t>
            </w:r>
          </w:p>
        </w:tc>
        <w:tc>
          <w:tcPr>
            <w:tcW w:type="dxa" w:w="15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236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w:t>
            </w:r>
          </w:p>
        </w:tc>
        <w:tc>
          <w:tcPr>
            <w:tcW w:type="dxa" w:w="15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Sets Cookies</w:t>
            </w:r>
          </w:p>
        </w:tc>
        <w:tc>
          <w:tcPr>
            <w:tcW w:type="dxa" w:w="20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Consent Req.</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Google Analytics (GA4)</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Placeholder</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Script tag present with G-XXXXXXXXXX placeholder ID; commented out but infrastructure ready</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DC2626"/>
                <w:sz w:val="18"/>
                <w:szCs w:val="18"/>
              </w:rPr>
              <w:t xml:space="preserve">Yes (when active)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DC2626"/>
                <w:sz w:val="18"/>
                <w:szCs w:val="18"/>
              </w:rPr>
              <w:t xml:space="preserve">Yes — GDPR/ePrivacy</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Google Tag Manager</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CSP Allowed</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Allowed in CSP but not actively loaded</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DC2626"/>
                <w:sz w:val="18"/>
                <w:szCs w:val="18"/>
              </w:rPr>
              <w:t xml:space="preserve">Yes (when active)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DC2626"/>
                <w:sz w:val="18"/>
                <w:szCs w:val="18"/>
              </w:rPr>
              <w:t xml:space="preserve">Yes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Google Fonts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Active</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Loaded on all pages; transmits user IP to Google servers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Disclosure needed</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Jotform</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CSP Allowed</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Allowed in CSP for form embeds; may set own cookies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Possible</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D97706"/>
                <w:sz w:val="18"/>
                <w:szCs w:val="18"/>
              </w:rPr>
              <w:t xml:space="preserve">Yes if active</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YouTube</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CSP Allowed</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youtube-nocookie.com variant allowed (privacy-enhanced)</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Reduced</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Recommended</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Facebook Pixel</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Not Found</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Facebook tracking code detected</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N/A</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N/A</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Hotjar / Clarity</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Not Found</w:t>
            </w:r>
          </w:p>
        </w:tc>
        <w:tc>
          <w:tcPr>
            <w:tcW w:type="dxa" w:w="2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session recording tools detected</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N/A</w:t>
            </w:r>
          </w:p>
        </w:tc>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N/A</w:t>
            </w:r>
          </w:p>
        </w:tc>
      </w:tr>
    </w:tbl>
    <w:p>
      <w:pPr>
        <w:spacing w:after="120"/>
      </w:pPr>
      <w:r>
        <w:rPr>
          <w:rFonts w:ascii="Arial" w:cs="Arial" w:eastAsia="Arial" w:hAnsi="Arial"/>
          <w:sz w:val="20"/>
          <w:szCs w:val="20"/>
        </w:rPr>
        <w:t xml:space="preserve"> </w:t>
      </w:r>
    </w:p>
    <w:p>
      <w:pPr>
        <w:spacing w:after="100"/>
      </w:pPr>
      <w:r>
        <w:rPr>
          <w:rFonts w:ascii="Arial" w:cs="Arial" w:eastAsia="Arial" w:hAnsi="Arial"/>
          <w:b/>
          <w:bCs/>
          <w:sz w:val="20"/>
          <w:szCs w:val="20"/>
        </w:rPr>
        <w:t xml:space="preserve">Key Risk: </w:t>
      </w:r>
      <w:r>
        <w:rPr>
          <w:rFonts w:ascii="Arial" w:cs="Arial" w:eastAsia="Arial" w:hAnsi="Arial"/>
          <w:sz w:val="20"/>
          <w:szCs w:val="20"/>
        </w:rPr>
        <w:t xml:space="preserve">When Google Analytics is activated (replacing the placeholder ID), it will set tracking cookies (_ga, _gid) without any consent mechanism in place. This creates an immediate GDPR violation upon activation.</w:t>
      </w:r>
    </w:p>
    <w:p>
      <w:r>
        <w:br w:type="page"/>
      </w:r>
    </w:p>
    <w:p>
      <w:pPr>
        <w:pStyle w:val="Heading1"/>
        <w:spacing w:before="300" w:after="150"/>
      </w:pPr>
      <w:r>
        <w:rPr>
          <w:rFonts w:ascii="Arial" w:cs="Arial" w:eastAsia="Arial" w:hAnsi="Arial"/>
        </w:rPr>
        <w:t xml:space="preserve">4. Form-by-Form Consent &amp; Data Collection Audit</w:t>
      </w:r>
    </w:p>
    <w:p>
      <w:pPr>
        <w:pStyle w:val="Heading2"/>
        <w:spacing w:before="300" w:after="150"/>
      </w:pPr>
      <w:r>
        <w:rPr>
          <w:rFonts w:ascii="Arial" w:cs="Arial" w:eastAsia="Arial" w:hAnsi="Arial"/>
        </w:rPr>
        <w:t xml:space="preserve">4.1 Medical Referral Form (CRITICAL)</w:t>
      </w:r>
    </w:p>
    <w:p>
      <w:pPr>
        <w:spacing w:after="100"/>
      </w:pPr>
      <w:r>
        <w:rPr>
          <w:rFonts w:ascii="Arial" w:cs="Arial" w:eastAsia="Arial" w:hAnsi="Arial"/>
          <w:b/>
          <w:bCs/>
          <w:sz w:val="20"/>
          <w:szCs w:val="20"/>
        </w:rPr>
        <w:t xml:space="preserve">Page: </w:t>
      </w:r>
      <w:r>
        <w:rPr>
          <w:rFonts w:ascii="Arial" w:cs="Arial" w:eastAsia="Arial" w:hAnsi="Arial"/>
          <w:sz w:val="20"/>
          <w:szCs w:val="20"/>
        </w:rPr>
        <w:t xml:space="preserve">/make-a-referral/  |  Form type: make-a-referral</w:t>
      </w:r>
    </w:p>
    <w:p>
      <w:pPr>
        <w:spacing w:after="100"/>
      </w:pPr>
      <w:r>
        <w:rPr>
          <w:rFonts w:ascii="Arial" w:cs="Arial" w:eastAsia="Arial" w:hAnsi="Arial"/>
          <w:b/>
          <w:bCs/>
          <w:sz w:val="20"/>
          <w:szCs w:val="20"/>
        </w:rPr>
        <w:t xml:space="preserve">API Endpoint: </w:t>
      </w:r>
      <w:r>
        <w:rPr>
          <w:rFonts w:ascii="Arial" w:cs="Arial" w:eastAsia="Arial" w:hAnsi="Arial"/>
          <w:sz w:val="20"/>
          <w:szCs w:val="20"/>
        </w:rPr>
        <w:t xml:space="preserve">Power Automate REFERRAL workflow</w:t>
      </w:r>
    </w:p>
    <w:p>
      <w:pPr>
        <w:spacing w:after="120"/>
      </w:pPr>
      <w:r>
        <w:rPr>
          <w:rFonts w:ascii="Arial" w:cs="Arial" w:eastAsia="Arial" w:hAnsi="Arial"/>
          <w:sz w:val="20"/>
          <w:szCs w:val="20"/>
        </w:rPr>
        <w:t xml:space="preserve">This is the highest-risk form on the site. It collects extensive sensitive health information including primary and secondary medical diagnoses, NDIS plan details, clinical risk flags, and detailed care requirements. This data falls under the definition of “sensitive information” in section 6 of the Privacy Act 1988 and constitutes “special category data” under GDPR Article 9.</w:t>
      </w:r>
    </w:p>
    <w:p>
      <w:pPr>
        <w:pStyle w:val="Heading3"/>
        <w:spacing w:before="300" w:after="150"/>
      </w:pPr>
      <w:r>
        <w:rPr>
          <w:rFonts w:ascii="Arial" w:cs="Arial" w:eastAsia="Arial" w:hAnsi="Arial"/>
        </w:rPr>
        <w:t xml:space="preserve">Data Collected:</w:t>
      </w:r>
    </w:p>
    <w:p>
      <w:pPr>
        <w:pStyle w:val="ListParagraph"/>
        <w:numPr>
          <w:ilvl w:val="0"/>
          <w:numId w:val="2"/>
        </w:numPr>
        <w:spacing w:after="60"/>
      </w:pPr>
      <w:r>
        <w:rPr>
          <w:rFonts w:ascii="Arial" w:cs="Arial" w:eastAsia="Arial" w:hAnsi="Arial"/>
          <w:sz w:val="20"/>
          <w:szCs w:val="20"/>
        </w:rPr>
        <w:t xml:space="preserve">Referrer: Full name, organisation, phone, email, relationship to client</w:t>
      </w:r>
    </w:p>
    <w:p>
      <w:pPr>
        <w:pStyle w:val="ListParagraph"/>
        <w:numPr>
          <w:ilvl w:val="0"/>
          <w:numId w:val="2"/>
        </w:numPr>
        <w:spacing w:after="60"/>
      </w:pPr>
      <w:r>
        <w:rPr>
          <w:rFonts w:ascii="Arial" w:cs="Arial" w:eastAsia="Arial" w:hAnsi="Arial"/>
          <w:sz w:val="20"/>
          <w:szCs w:val="20"/>
        </w:rPr>
        <w:t xml:space="preserve">Client: Full name, phone, email, date of birth, full residential address</w:t>
      </w:r>
    </w:p>
    <w:p>
      <w:pPr>
        <w:pStyle w:val="ListParagraph"/>
        <w:numPr>
          <w:ilvl w:val="0"/>
          <w:numId w:val="2"/>
        </w:numPr>
        <w:spacing w:after="60"/>
      </w:pPr>
      <w:r>
        <w:rPr>
          <w:rFonts w:ascii="Arial" w:cs="Arial" w:eastAsia="Arial" w:hAnsi="Arial"/>
          <w:sz w:val="20"/>
          <w:szCs w:val="20"/>
        </w:rPr>
        <w:t xml:space="preserve">Emergency contacts: Name, relationship, phone, email (primary and alternate)</w:t>
      </w:r>
    </w:p>
    <w:p>
      <w:pPr>
        <w:pStyle w:val="ListParagraph"/>
        <w:numPr>
          <w:ilvl w:val="0"/>
          <w:numId w:val="2"/>
        </w:numPr>
        <w:spacing w:after="60"/>
      </w:pPr>
      <w:r>
        <w:rPr>
          <w:rFonts w:ascii="Arial" w:cs="Arial" w:eastAsia="Arial" w:hAnsi="Arial"/>
          <w:sz w:val="20"/>
          <w:szCs w:val="20"/>
        </w:rPr>
        <w:t xml:space="preserve">NDIS/Funding: Plan dates, goals (free text), funding type, plan management details, available funds</w:t>
      </w:r>
    </w:p>
    <w:p>
      <w:pPr>
        <w:pStyle w:val="ListParagraph"/>
        <w:numPr>
          <w:ilvl w:val="0"/>
          <w:numId w:val="2"/>
        </w:numPr>
        <w:spacing w:after="60"/>
      </w:pPr>
      <w:r>
        <w:rPr>
          <w:rFonts w:ascii="Arial" w:cs="Arial" w:eastAsia="Arial" w:hAnsi="Arial"/>
          <w:sz w:val="20"/>
          <w:szCs w:val="20"/>
        </w:rPr>
        <w:t xml:space="preserve">Clinical: Primary diagnosis, secondary diagnoses, current supports, risk flags (falls, pressure injury, dysphagia, mobility), requested services (palliative care, tracheostomy, catheter, oncology, etc.)</w:t>
      </w:r>
    </w:p>
    <w:p>
      <w:pPr>
        <w:pStyle w:val="ListParagraph"/>
        <w:numPr>
          <w:ilvl w:val="0"/>
          <w:numId w:val="2"/>
        </w:numPr>
        <w:spacing w:after="60"/>
      </w:pPr>
      <w:r>
        <w:rPr>
          <w:rFonts w:ascii="Arial" w:cs="Arial" w:eastAsia="Arial" w:hAnsi="Arial"/>
          <w:sz w:val="20"/>
          <w:szCs w:val="20"/>
        </w:rPr>
        <w:t xml:space="preserve">File uploads: Up to 5 files (PDF, DOC, JPG, PNG), max 10MB each</w:t>
      </w:r>
    </w:p>
    <w:p>
      <w:pPr>
        <w:pStyle w:val="Heading3"/>
        <w:spacing w:before="300" w:after="150"/>
      </w:pPr>
      <w:r>
        <w:rPr>
          <w:rFonts w:ascii="Arial" w:cs="Arial" w:eastAsia="Arial" w:hAnsi="Arial"/>
        </w:rPr>
        <w:t xml:space="preserve">Consent Mechanism:</w:t>
      </w:r>
    </w:p>
    <w:p>
      <w:pPr>
        <w:spacing w:after="100"/>
      </w:pPr>
      <w:r>
        <w:rPr>
          <w:rFonts w:ascii="Arial" w:cs="Arial" w:eastAsia="Arial" w:hAnsi="Arial"/>
          <w:b/>
          <w:bCs/>
          <w:sz w:val="20"/>
          <w:szCs w:val="20"/>
        </w:rPr>
        <w:t xml:space="preserve">Checkbox: </w:t>
      </w:r>
      <w:r>
        <w:rPr>
          <w:rFonts w:ascii="Arial" w:cs="Arial" w:eastAsia="Arial" w:hAnsi="Arial"/>
          <w:sz w:val="20"/>
          <w:szCs w:val="20"/>
        </w:rPr>
        <w:t xml:space="preserve">ref_consent (required) — “I consent to this referral being processed”</w:t>
      </w:r>
    </w:p>
    <w:p>
      <w:pPr>
        <w:spacing w:after="100"/>
      </w:pPr>
      <w:r>
        <w:rPr>
          <w:rFonts w:ascii="Arial" w:cs="Arial" w:eastAsia="Arial" w:hAnsi="Arial"/>
          <w:b/>
          <w:bCs/>
          <w:sz w:val="20"/>
          <w:szCs w:val="20"/>
        </w:rPr>
        <w:t xml:space="preserve">Authority: </w:t>
      </w:r>
      <w:r>
        <w:rPr>
          <w:rFonts w:ascii="Arial" w:cs="Arial" w:eastAsia="Arial" w:hAnsi="Arial"/>
          <w:sz w:val="20"/>
          <w:szCs w:val="20"/>
        </w:rPr>
        <w:t xml:space="preserve">ref_authority checkbox present (consent of referrer authority)</w:t>
      </w:r>
    </w:p>
    <w:p>
      <w:pPr>
        <w:spacing w:after="120"/>
      </w:pPr>
      <w:r>
        <w:rPr>
          <w:rFonts w:ascii="Arial" w:cs="Arial" w:eastAsia="Arial" w:hAnsi="Arial"/>
          <w:sz w:val="20"/>
          <w:szCs w:val="20"/>
        </w:rPr>
        <w:t xml:space="preserve"> </w:t>
      </w:r>
    </w:p>
    <w:p>
      <w:pPr>
        <w:spacing w:after="100"/>
      </w:pPr>
      <w:r>
        <w:rPr>
          <w:rFonts w:ascii="Arial" w:cs="Arial" w:eastAsia="Arial" w:hAnsi="Arial"/>
          <w:b/>
          <w:bCs/>
          <w:sz w:val="20"/>
          <w:szCs w:val="20"/>
        </w:rPr>
        <w:t xml:space="preserve">Compliance Issues: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Consent wording is generic and does not disclose: what data is collected, who processes it, how long it is retained, or the legal basis</w:t>
      </w:r>
    </w:p>
    <w:p>
      <w:pPr>
        <w:pStyle w:val="ListParagraph"/>
        <w:numPr>
          <w:ilvl w:val="0"/>
          <w:numId w:val="2"/>
        </w:numPr>
        <w:spacing w:after="60"/>
      </w:pPr>
      <w:r>
        <w:rPr>
          <w:rFonts w:ascii="Arial" w:cs="Arial" w:eastAsia="Arial" w:hAnsi="Arial"/>
          <w:sz w:val="20"/>
          <w:szCs w:val="20"/>
        </w:rPr>
        <w:t xml:space="preserve">No privacy policy link inline with the form (only in page footer)</w:t>
      </w:r>
    </w:p>
    <w:p>
      <w:pPr>
        <w:pStyle w:val="ListParagraph"/>
        <w:numPr>
          <w:ilvl w:val="0"/>
          <w:numId w:val="2"/>
        </w:numPr>
        <w:spacing w:after="60"/>
      </w:pPr>
      <w:r>
        <w:rPr>
          <w:rFonts w:ascii="Arial" w:cs="Arial" w:eastAsia="Arial" w:hAnsi="Arial"/>
          <w:sz w:val="20"/>
          <w:szCs w:val="20"/>
        </w:rPr>
        <w:t xml:space="preserve">No disclosure that data is transmitted to Microsoft Power Automate / Azure cloud services</w:t>
      </w:r>
    </w:p>
    <w:p>
      <w:pPr>
        <w:pStyle w:val="ListParagraph"/>
        <w:numPr>
          <w:ilvl w:val="0"/>
          <w:numId w:val="2"/>
        </w:numPr>
        <w:spacing w:after="60"/>
      </w:pPr>
      <w:r>
        <w:rPr>
          <w:rFonts w:ascii="Arial" w:cs="Arial" w:eastAsia="Arial" w:hAnsi="Arial"/>
          <w:sz w:val="20"/>
          <w:szCs w:val="20"/>
        </w:rPr>
        <w:t xml:space="preserve">Under GDPR Article 9, processing health data requires explicit consent with specific purpose — generic consent is insufficient</w:t>
      </w:r>
    </w:p>
    <w:p>
      <w:pPr>
        <w:pStyle w:val="ListParagraph"/>
        <w:numPr>
          <w:ilvl w:val="0"/>
          <w:numId w:val="2"/>
        </w:numPr>
        <w:spacing w:after="60"/>
      </w:pPr>
      <w:r>
        <w:rPr>
          <w:rFonts w:ascii="Arial" w:cs="Arial" w:eastAsia="Arial" w:hAnsi="Arial"/>
          <w:sz w:val="20"/>
          <w:szCs w:val="20"/>
        </w:rPr>
        <w:t xml:space="preserve">Under APP 3.3, collection of sensitive information requires consent that is voluntary, informed, specific, current, and given by a person with capacity</w:t>
      </w:r>
    </w:p>
    <w:p>
      <w:pPr>
        <w:pStyle w:val="Heading2"/>
        <w:spacing w:before="300" w:after="150"/>
      </w:pPr>
      <w:r>
        <w:rPr>
          <w:rFonts w:ascii="Arial" w:cs="Arial" w:eastAsia="Arial" w:hAnsi="Arial"/>
        </w:rPr>
        <w:t xml:space="preserve">4.2 Contact / General Enquiry Form</w:t>
      </w:r>
    </w:p>
    <w:p>
      <w:pPr>
        <w:spacing w:after="100"/>
      </w:pPr>
      <w:r>
        <w:rPr>
          <w:rFonts w:ascii="Arial" w:cs="Arial" w:eastAsia="Arial" w:hAnsi="Arial"/>
          <w:b/>
          <w:bCs/>
          <w:sz w:val="20"/>
          <w:szCs w:val="20"/>
        </w:rPr>
        <w:t xml:space="preserve">Page: </w:t>
      </w:r>
      <w:r>
        <w:rPr>
          <w:rFonts w:ascii="Arial" w:cs="Arial" w:eastAsia="Arial" w:hAnsi="Arial"/>
          <w:sz w:val="20"/>
          <w:szCs w:val="20"/>
        </w:rPr>
        <w:t xml:space="preserve">/contact/  |  Form type: submit-contact</w:t>
      </w:r>
    </w:p>
    <w:p>
      <w:pPr>
        <w:spacing w:after="100"/>
      </w:pPr>
      <w:r>
        <w:rPr>
          <w:rFonts w:ascii="Arial" w:cs="Arial" w:eastAsia="Arial" w:hAnsi="Arial"/>
          <w:b/>
          <w:bCs/>
          <w:sz w:val="20"/>
          <w:szCs w:val="20"/>
        </w:rPr>
        <w:t xml:space="preserve">Data Collected: </w:t>
      </w:r>
      <w:r>
        <w:rPr>
          <w:rFonts w:ascii="Arial" w:cs="Arial" w:eastAsia="Arial" w:hAnsi="Arial"/>
          <w:sz w:val="20"/>
          <w:szCs w:val="20"/>
        </w:rPr>
        <w:t xml:space="preserve">Full name (with title), email, phone, optional catalogue request</w:t>
      </w:r>
    </w:p>
    <w:p>
      <w:pPr>
        <w:spacing w:after="100"/>
      </w:pPr>
      <w:r>
        <w:rPr>
          <w:rFonts w:ascii="Arial" w:cs="Arial" w:eastAsia="Arial" w:hAnsi="Arial"/>
          <w:b/>
          <w:bCs/>
          <w:sz w:val="20"/>
          <w:szCs w:val="20"/>
        </w:rPr>
        <w:t xml:space="preserve">Consent: </w:t>
      </w:r>
      <w:r>
        <w:rPr>
          <w:rFonts w:ascii="Arial" w:cs="Arial" w:eastAsia="Arial" w:hAnsi="Arial"/>
          <w:sz w:val="20"/>
          <w:szCs w:val="20"/>
        </w:rPr>
        <w:t xml:space="preserve">enq_consent (required) — “I consent to Cross Care Group contacting me about this enquiry.”</w:t>
      </w:r>
    </w:p>
    <w:p>
      <w:pPr>
        <w:spacing w:after="100"/>
      </w:pPr>
      <w:r>
        <w:rPr>
          <w:rFonts w:ascii="Arial" w:cs="Arial" w:eastAsia="Arial" w:hAnsi="Arial"/>
          <w:b/>
          <w:bCs/>
          <w:sz w:val="20"/>
          <w:szCs w:val="20"/>
        </w:rPr>
        <w:t xml:space="preserve">Assessment: </w:t>
      </w:r>
      <w:r>
        <w:rPr>
          <w:rFonts w:ascii="Arial" w:cs="Arial" w:eastAsia="Arial" w:hAnsi="Arial"/>
          <w:sz w:val="20"/>
          <w:szCs w:val="20"/>
        </w:rPr>
        <w:t xml:space="preserve">Adequate consent wording for the data collected. Privacy policy link available in footer but not inline.</w:t>
      </w:r>
    </w:p>
    <w:p>
      <w:pPr>
        <w:pStyle w:val="Heading2"/>
        <w:spacing w:before="300" w:after="150"/>
      </w:pPr>
      <w:r>
        <w:rPr>
          <w:rFonts w:ascii="Arial" w:cs="Arial" w:eastAsia="Arial" w:hAnsi="Arial"/>
        </w:rPr>
        <w:t xml:space="preserve">4.3 Expression of Interest (Careers)</w:t>
      </w:r>
    </w:p>
    <w:p>
      <w:pPr>
        <w:spacing w:after="100"/>
      </w:pPr>
      <w:r>
        <w:rPr>
          <w:rFonts w:ascii="Arial" w:cs="Arial" w:eastAsia="Arial" w:hAnsi="Arial"/>
          <w:b/>
          <w:bCs/>
          <w:sz w:val="20"/>
          <w:szCs w:val="20"/>
        </w:rPr>
        <w:t xml:space="preserve">Page: </w:t>
      </w:r>
      <w:r>
        <w:rPr>
          <w:rFonts w:ascii="Arial" w:cs="Arial" w:eastAsia="Arial" w:hAnsi="Arial"/>
          <w:sz w:val="20"/>
          <w:szCs w:val="20"/>
        </w:rPr>
        <w:t xml:space="preserve">/careers/expression-of-interest/  |  Form type: submit-eoi</w:t>
      </w:r>
    </w:p>
    <w:p>
      <w:pPr>
        <w:spacing w:after="100"/>
      </w:pPr>
      <w:r>
        <w:rPr>
          <w:rFonts w:ascii="Arial" w:cs="Arial" w:eastAsia="Arial" w:hAnsi="Arial"/>
          <w:b/>
          <w:bCs/>
          <w:sz w:val="20"/>
          <w:szCs w:val="20"/>
        </w:rPr>
        <w:t xml:space="preserve">Data Collected: </w:t>
      </w:r>
      <w:r>
        <w:rPr>
          <w:rFonts w:ascii="Arial" w:cs="Arial" w:eastAsia="Arial" w:hAnsi="Arial"/>
          <w:sz w:val="20"/>
          <w:szCs w:val="20"/>
        </w:rPr>
        <w:t xml:space="preserve">Full name, email, phone, professional registrations (free text), CV file upload</w:t>
      </w:r>
    </w:p>
    <w:p>
      <w:pPr>
        <w:spacing w:after="100"/>
      </w:pPr>
      <w:r>
        <w:rPr>
          <w:rFonts w:ascii="Arial" w:cs="Arial" w:eastAsia="Arial" w:hAnsi="Arial"/>
          <w:b/>
          <w:bCs/>
          <w:sz w:val="20"/>
          <w:szCs w:val="20"/>
        </w:rPr>
        <w:t xml:space="preserve">Consent: </w:t>
      </w:r>
      <w:r>
        <w:rPr>
          <w:rFonts w:ascii="Arial" w:cs="Arial" w:eastAsia="Arial" w:hAnsi="Arial"/>
          <w:sz w:val="20"/>
          <w:szCs w:val="20"/>
        </w:rPr>
        <w:t xml:space="preserve">eoi_consent (required)</w:t>
      </w:r>
    </w:p>
    <w:p>
      <w:pPr>
        <w:spacing w:after="100"/>
      </w:pPr>
      <w:r>
        <w:rPr>
          <w:rFonts w:ascii="Arial" w:cs="Arial" w:eastAsia="Arial" w:hAnsi="Arial"/>
          <w:b/>
          <w:bCs/>
          <w:sz w:val="20"/>
          <w:szCs w:val="20"/>
        </w:rPr>
        <w:t xml:space="preserve">Issues: </w:t>
      </w:r>
      <w:r>
        <w:rPr>
          <w:rFonts w:ascii="Arial" w:cs="Arial" w:eastAsia="Arial" w:hAnsi="Arial"/>
          <w:sz w:val="20"/>
          <w:szCs w:val="20"/>
        </w:rPr>
        <w:t xml:space="preserve">CV uploads may contain extensive personal information (address, education history, references). No disclosure about how CVs are stored, who accesses them, or retention period.</w:t>
      </w:r>
    </w:p>
    <w:p>
      <w:pPr>
        <w:pStyle w:val="Heading2"/>
        <w:spacing w:before="300" w:after="150"/>
      </w:pPr>
      <w:r>
        <w:rPr>
          <w:rFonts w:ascii="Arial" w:cs="Arial" w:eastAsia="Arial" w:hAnsi="Arial"/>
        </w:rPr>
        <w:t xml:space="preserve">4.4 Get Support Form</w:t>
      </w:r>
    </w:p>
    <w:p>
      <w:pPr>
        <w:spacing w:after="100"/>
      </w:pPr>
      <w:r>
        <w:rPr>
          <w:rFonts w:ascii="Arial" w:cs="Arial" w:eastAsia="Arial" w:hAnsi="Arial"/>
          <w:b/>
          <w:bCs/>
          <w:sz w:val="20"/>
          <w:szCs w:val="20"/>
        </w:rPr>
        <w:t xml:space="preserve">Page: </w:t>
      </w:r>
      <w:r>
        <w:rPr>
          <w:rFonts w:ascii="Arial" w:cs="Arial" w:eastAsia="Arial" w:hAnsi="Arial"/>
          <w:sz w:val="20"/>
          <w:szCs w:val="20"/>
        </w:rPr>
        <w:t xml:space="preserve">/get-support/  |  Form type: submit-support</w:t>
      </w:r>
    </w:p>
    <w:p>
      <w:pPr>
        <w:spacing w:after="100"/>
      </w:pPr>
      <w:r>
        <w:rPr>
          <w:rFonts w:ascii="Arial" w:cs="Arial" w:eastAsia="Arial" w:hAnsi="Arial"/>
          <w:b/>
          <w:bCs/>
          <w:sz w:val="20"/>
          <w:szCs w:val="20"/>
        </w:rPr>
        <w:t xml:space="preserve">Data Collected: </w:t>
      </w:r>
      <w:r>
        <w:rPr>
          <w:rFonts w:ascii="Arial" w:cs="Arial" w:eastAsia="Arial" w:hAnsi="Arial"/>
          <w:sz w:val="20"/>
          <w:szCs w:val="20"/>
        </w:rPr>
        <w:t xml:space="preserve">Full name, phone, email, support type (NDIS Support, Hospital to Home, Complex Care, Private)</w:t>
      </w:r>
    </w:p>
    <w:p>
      <w:pPr>
        <w:spacing w:after="100"/>
      </w:pPr>
      <w:r>
        <w:rPr>
          <w:rFonts w:ascii="Arial" w:cs="Arial" w:eastAsia="Arial" w:hAnsi="Arial"/>
          <w:b/>
          <w:bCs/>
          <w:sz w:val="20"/>
          <w:szCs w:val="20"/>
        </w:rPr>
        <w:t xml:space="preserve">Consent: </w:t>
      </w:r>
      <w:r>
        <w:rPr>
          <w:rFonts w:ascii="Arial" w:cs="Arial" w:eastAsia="Arial" w:hAnsi="Arial"/>
          <w:sz w:val="20"/>
          <w:szCs w:val="20"/>
        </w:rPr>
        <w:t xml:space="preserve">NO consent checkbox detected on this form.</w:t>
      </w:r>
    </w:p>
    <w:p>
      <w:pPr>
        <w:spacing w:after="100"/>
      </w:pPr>
      <w:r>
        <w:rPr>
          <w:rFonts w:ascii="Arial" w:cs="Arial" w:eastAsia="Arial" w:hAnsi="Arial"/>
          <w:b/>
          <w:bCs/>
          <w:sz w:val="20"/>
          <w:szCs w:val="20"/>
        </w:rPr>
        <w:t xml:space="preserve">Critical Issue: </w:t>
      </w:r>
      <w:r>
        <w:rPr>
          <w:rFonts w:ascii="Arial" w:cs="Arial" w:eastAsia="Arial" w:hAnsi="Arial"/>
          <w:sz w:val="20"/>
          <w:szCs w:val="20"/>
        </w:rPr>
        <w:t xml:space="preserve">This form collects contact information and health service categories without any consent mechanism. The support type selection reveals the individual’s health/disability status (NDIS indicates disability). This is sensitive information under the Privacy Act.</w:t>
      </w:r>
    </w:p>
    <w:p>
      <w:pPr>
        <w:pStyle w:val="Heading2"/>
        <w:spacing w:before="300" w:after="150"/>
      </w:pPr>
      <w:r>
        <w:rPr>
          <w:rFonts w:ascii="Arial" w:cs="Arial" w:eastAsia="Arial" w:hAnsi="Arial"/>
        </w:rPr>
        <w:t xml:space="preserve">4.5 Feedback &amp; Complaint Forms</w:t>
      </w:r>
    </w:p>
    <w:p>
      <w:pPr>
        <w:spacing w:after="100"/>
      </w:pPr>
      <w:r>
        <w:rPr>
          <w:rFonts w:ascii="Arial" w:cs="Arial" w:eastAsia="Arial" w:hAnsi="Arial"/>
          <w:b/>
          <w:bCs/>
          <w:sz w:val="20"/>
          <w:szCs w:val="20"/>
        </w:rPr>
        <w:t xml:space="preserve">Page: </w:t>
      </w:r>
      <w:r>
        <w:rPr>
          <w:rFonts w:ascii="Arial" w:cs="Arial" w:eastAsia="Arial" w:hAnsi="Arial"/>
          <w:sz w:val="20"/>
          <w:szCs w:val="20"/>
        </w:rPr>
        <w:t xml:space="preserve">/rights-feedback-complaints/  |  Form types: submit-feedback, submit-complaint</w:t>
      </w:r>
    </w:p>
    <w:p>
      <w:pPr>
        <w:spacing w:after="100"/>
      </w:pPr>
      <w:r>
        <w:rPr>
          <w:rFonts w:ascii="Arial" w:cs="Arial" w:eastAsia="Arial" w:hAnsi="Arial"/>
          <w:b/>
          <w:bCs/>
          <w:sz w:val="20"/>
          <w:szCs w:val="20"/>
        </w:rPr>
        <w:t xml:space="preserve">Data Collected: </w:t>
      </w:r>
      <w:r>
        <w:rPr>
          <w:rFonts w:ascii="Arial" w:cs="Arial" w:eastAsia="Arial" w:hAnsi="Arial"/>
          <w:sz w:val="20"/>
          <w:szCs w:val="20"/>
        </w:rPr>
        <w:t xml:space="preserve">Name (optional for feedback), contact details, message text, desired outcome (complaints)</w:t>
      </w:r>
    </w:p>
    <w:p>
      <w:pPr>
        <w:spacing w:after="100"/>
      </w:pPr>
      <w:r>
        <w:rPr>
          <w:rFonts w:ascii="Arial" w:cs="Arial" w:eastAsia="Arial" w:hAnsi="Arial"/>
          <w:b/>
          <w:bCs/>
          <w:sz w:val="20"/>
          <w:szCs w:val="20"/>
        </w:rPr>
        <w:t xml:space="preserve">Consent: </w:t>
      </w:r>
      <w:r>
        <w:rPr>
          <w:rFonts w:ascii="Arial" w:cs="Arial" w:eastAsia="Arial" w:hAnsi="Arial"/>
          <w:sz w:val="20"/>
          <w:szCs w:val="20"/>
        </w:rPr>
        <w:t xml:space="preserve">caf_consent_call checkbox (optional, for follow-up calls)</w:t>
      </w:r>
    </w:p>
    <w:p>
      <w:pPr>
        <w:spacing w:after="100"/>
      </w:pPr>
      <w:r>
        <w:rPr>
          <w:rFonts w:ascii="Arial" w:cs="Arial" w:eastAsia="Arial" w:hAnsi="Arial"/>
          <w:b/>
          <w:bCs/>
          <w:sz w:val="20"/>
          <w:szCs w:val="20"/>
        </w:rPr>
        <w:t xml:space="preserve">Assessment: </w:t>
      </w:r>
      <w:r>
        <w:rPr>
          <w:rFonts w:ascii="Arial" w:cs="Arial" w:eastAsia="Arial" w:hAnsi="Arial"/>
          <w:sz w:val="20"/>
          <w:szCs w:val="20"/>
        </w:rPr>
        <w:t xml:space="preserve">Feedback form permits anonymity (positive). Complaint form requires identification. Consent wording is adequate for scope.</w:t>
      </w:r>
    </w:p>
    <w:p>
      <w:r>
        <w:br w:type="page"/>
      </w:r>
    </w:p>
    <w:p>
      <w:pPr>
        <w:pStyle w:val="Heading1"/>
        <w:spacing w:before="300" w:after="150"/>
      </w:pPr>
      <w:r>
        <w:rPr>
          <w:rFonts w:ascii="Arial" w:cs="Arial" w:eastAsia="Arial" w:hAnsi="Arial"/>
        </w:rPr>
        <w:t xml:space="preserve">5. Privacy Policy Assessment</w:t>
      </w:r>
    </w:p>
    <w:p>
      <w:pPr>
        <w:spacing w:after="120"/>
      </w:pPr>
      <w:r>
        <w:rPr>
          <w:rFonts w:ascii="Arial" w:cs="Arial" w:eastAsia="Arial" w:hAnsi="Arial"/>
          <w:sz w:val="20"/>
          <w:szCs w:val="20"/>
        </w:rPr>
        <w:t xml:space="preserve">The privacy policy at /legal/privacy-policy/ was assessed against both APP 1 requirements and GDPR Articles 13–14.</w:t>
      </w:r>
    </w:p>
    <w:p>
      <w:pPr>
        <w:spacing w:after="12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Requirement</w:t>
            </w:r>
          </w:p>
        </w:tc>
        <w:tc>
          <w:tcPr>
            <w:tcW w:type="dxa" w:w="15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436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Finding</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Types of data collected enumerated</w:t>
            </w:r>
          </w:p>
        </w:tc>
        <w:tc>
          <w:tcPr>
            <w:tcW w:type="dxa" w:w="15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Missing</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Policy mentions “clinical records and assessment notes” only. Does not list: DOB, addresses, diagnoses, NDIS goals, risk flags, file uploads, contact details</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Third parties named</w:t>
            </w:r>
          </w:p>
        </w:tc>
        <w:tc>
          <w:tcPr>
            <w:tcW w:type="dxa" w:w="15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Missing</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mention of Microsoft Power Automate, Azure, Google Analytics, Google Fonts, Jotform, or SiteGround hosting</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Data retention periods</w:t>
            </w:r>
          </w:p>
        </w:tc>
        <w:tc>
          <w:tcPr>
            <w:tcW w:type="dxa" w:w="15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Missing</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retention timeline specified for any data category</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Cookie disclosure</w:t>
            </w:r>
          </w:p>
        </w:tc>
        <w:tc>
          <w:tcPr>
            <w:tcW w:type="dxa" w:w="15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Missing</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mention of cookies, tracking technologies, or browser storage</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User rights (access)</w:t>
            </w:r>
          </w:p>
        </w:tc>
        <w:tc>
          <w:tcPr>
            <w:tcW w:type="dxa" w:w="15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Minimal</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States “right to request a copy of your clinical data… within 2 business days”</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User rights (deletion)</w:t>
            </w:r>
          </w:p>
        </w:tc>
        <w:tc>
          <w:tcPr>
            <w:tcW w:type="dxa" w:w="15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Missing</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right to erasure/deletion mentioned</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User rights (correction)</w:t>
            </w:r>
          </w:p>
        </w:tc>
        <w:tc>
          <w:tcPr>
            <w:tcW w:type="dxa" w:w="15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Missing</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right to correction mentioned (required under APP 13)</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User rights (portability)</w:t>
            </w:r>
          </w:p>
        </w:tc>
        <w:tc>
          <w:tcPr>
            <w:tcW w:type="dxa" w:w="15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Missing</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data portability provisions (GDPR Art. 20)</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User rights (objection)</w:t>
            </w:r>
          </w:p>
        </w:tc>
        <w:tc>
          <w:tcPr>
            <w:tcW w:type="dxa" w:w="15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Missing</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right to object to processing (GDPR Art. 21)</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DPO / Privacy Officer contact</w:t>
            </w:r>
          </w:p>
        </w:tc>
        <w:tc>
          <w:tcPr>
            <w:tcW w:type="dxa" w:w="15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Missing</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designated privacy contact. Only general email available</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Cross-border data transfers</w:t>
            </w:r>
          </w:p>
        </w:tc>
        <w:tc>
          <w:tcPr>
            <w:tcW w:type="dxa" w:w="15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Missing</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Data flows to Microsoft Azure (potentially US/global); Google servers (US). Not disclosed</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Lawful basis for processing</w:t>
            </w:r>
          </w:p>
        </w:tc>
        <w:tc>
          <w:tcPr>
            <w:tcW w:type="dxa" w:w="15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Missing</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explicit legal basis stated (consent, contract, legal obligation, or legitimate interest)</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Data security measures</w:t>
            </w:r>
          </w:p>
        </w:tc>
        <w:tc>
          <w:tcPr>
            <w:tcW w:type="dxa" w:w="15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6A34A"/>
                <w:sz w:val="18"/>
                <w:szCs w:val="18"/>
              </w:rPr>
              <w:t xml:space="preserve">Adequate</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States “Microsoft-first organisation” with “healthcare-standard encrypted environments with multi-factor audit paths”</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Marketing opt-out</w:t>
            </w:r>
          </w:p>
        </w:tc>
        <w:tc>
          <w:tcPr>
            <w:tcW w:type="dxa" w:w="15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6A34A"/>
                <w:sz w:val="18"/>
                <w:szCs w:val="18"/>
              </w:rPr>
              <w:t xml:space="preserve">Adequate</w:t>
            </w:r>
          </w:p>
        </w:tc>
        <w:tc>
          <w:tcPr>
            <w:tcW w:type="dxa" w:w="4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Clearly states: “We never disclose data for marketing purposes”</w:t>
            </w:r>
          </w:p>
        </w:tc>
      </w:tr>
    </w:tbl>
    <w:p>
      <w:pPr>
        <w:spacing w:after="120"/>
      </w:pPr>
      <w:r>
        <w:rPr>
          <w:rFonts w:ascii="Arial" w:cs="Arial" w:eastAsia="Arial" w:hAnsi="Arial"/>
          <w:sz w:val="20"/>
          <w:szCs w:val="20"/>
        </w:rPr>
        <w:t xml:space="preserve"> </w:t>
      </w:r>
    </w:p>
    <w:p>
      <w:pPr>
        <w:spacing w:after="100"/>
      </w:pPr>
      <w:r>
        <w:rPr>
          <w:rFonts w:ascii="Arial" w:cs="Arial" w:eastAsia="Arial" w:hAnsi="Arial"/>
          <w:b/>
          <w:bCs/>
          <w:sz w:val="20"/>
          <w:szCs w:val="20"/>
        </w:rPr>
        <w:t xml:space="preserve">Assessment: </w:t>
      </w:r>
      <w:r>
        <w:rPr>
          <w:rFonts w:ascii="Arial" w:cs="Arial" w:eastAsia="Arial" w:hAnsi="Arial"/>
          <w:sz w:val="20"/>
          <w:szCs w:val="20"/>
        </w:rPr>
        <w:t xml:space="preserve">The privacy policy is critically insufficient for a healthcare organisation processing sensitive health data. It consists of approximately 150 words across three brief sections. A compliant policy for this context would typically require 2,000–5,000 words covering all mandatory elements.</w:t>
      </w:r>
    </w:p>
    <w:p>
      <w:r>
        <w:br w:type="page"/>
      </w:r>
    </w:p>
    <w:p>
      <w:pPr>
        <w:pStyle w:val="Heading1"/>
        <w:spacing w:before="300" w:after="150"/>
      </w:pPr>
      <w:r>
        <w:rPr>
          <w:rFonts w:ascii="Arial" w:cs="Arial" w:eastAsia="Arial" w:hAnsi="Arial"/>
        </w:rPr>
        <w:t xml:space="preserve">6. Data Flow &amp; Third-Party Transfer Analysis</w:t>
      </w:r>
    </w:p>
    <w:p>
      <w:pPr>
        <w:pStyle w:val="Heading2"/>
        <w:spacing w:before="300" w:after="150"/>
      </w:pPr>
      <w:r>
        <w:rPr>
          <w:rFonts w:ascii="Arial" w:cs="Arial" w:eastAsia="Arial" w:hAnsi="Arial"/>
        </w:rPr>
        <w:t xml:space="preserve">6.1 Data Transmission Architecture</w:t>
      </w:r>
    </w:p>
    <w:p>
      <w:pPr>
        <w:spacing w:after="120"/>
      </w:pPr>
      <w:r>
        <w:rPr>
          <w:rFonts w:ascii="Arial" w:cs="Arial" w:eastAsia="Arial" w:hAnsi="Arial"/>
          <w:sz w:val="20"/>
          <w:szCs w:val="20"/>
        </w:rPr>
        <w:t xml:space="preserve">All form submissions are processed client-side by forms.js, which sanitises inputs (XSS prevention), validates file uploads, enforces rate limiting (5 submissions per 60 seconds), and transmits JSON payloads via HTTPS POST to Microsoft Power Automate webhook endpoints.</w:t>
      </w:r>
    </w:p>
    <w:p>
      <w:pPr>
        <w:pStyle w:val="Heading2"/>
        <w:spacing w:before="300" w:after="150"/>
      </w:pPr>
      <w:r>
        <w:rPr>
          <w:rFonts w:ascii="Arial" w:cs="Arial" w:eastAsia="Arial" w:hAnsi="Arial"/>
        </w:rPr>
        <w:t xml:space="preserve">6.2 External Data Recipients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60"/>
        <w:gridCol w:w="1600"/>
        <w:gridCol w:w="1600"/>
      </w:tblGrid>
      <w:tr>
        <w:tc>
          <w:tcPr>
            <w:tcW w:type="dxa" w:w="18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Entity</w:t>
            </w:r>
          </w:p>
        </w:tc>
        <w:tc>
          <w:tcPr>
            <w:tcW w:type="dxa" w:w="22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Received</w:t>
            </w:r>
          </w:p>
        </w:tc>
        <w:tc>
          <w:tcPr>
            <w:tcW w:type="dxa" w:w="216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16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Location</w:t>
            </w:r>
          </w:p>
        </w:tc>
        <w:tc>
          <w:tcPr>
            <w:tcW w:type="dxa" w:w="16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DPA in Place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Microsoft (Power Automate / Azure)</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All form data incl. medical, NDIS, personal, files</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Form processing, workflow automation, data storage</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Azure (likely AU East)</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Unknown</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Google (Analytics)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Behavioural: pages visited, device, referral source, IP address</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Website analytics</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US</w:t>
            </w:r>
          </w:p>
        </w:tc>
        <w:tc>
          <w:tcPr>
            <w:tcW w:type="dxa" w:w="16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Google (Fonts CDN)</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User IP address, browser information</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Font delivery</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US / Global CDN</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N/A</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SiteGround (Hosting)</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All web traffic, server logs</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Web hosting</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Varies</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Unknown</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Jotform (if active)</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Form data if Jotform embeds used</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Alternative form hosting</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US</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Unknown</w:t>
            </w:r>
          </w:p>
        </w:tc>
      </w:tr>
    </w:tbl>
    <w:p>
      <w:pPr>
        <w:pStyle w:val="Heading2"/>
        <w:spacing w:before="300" w:after="150"/>
      </w:pPr>
      <w:r>
        <w:rPr>
          <w:rFonts w:ascii="Arial" w:cs="Arial" w:eastAsia="Arial" w:hAnsi="Arial"/>
        </w:rPr>
        <w:t xml:space="preserve">6.3 Exposed API Credentials (CRITICAL SECURITY FINDING)</w:t>
      </w:r>
    </w:p>
    <w:p>
      <w:pPr>
        <w:spacing w:after="120"/>
      </w:pPr>
      <w:r>
        <w:rPr>
          <w:rFonts w:ascii="Arial" w:cs="Arial" w:eastAsia="Arial" w:hAnsi="Arial"/>
          <w:sz w:val="20"/>
          <w:szCs w:val="20"/>
        </w:rPr>
        <w:t xml:space="preserve">The file config.js exposes five Power Automate webhook URLs including Shared Access Signature (SAS) authentication tokens in the client-side JavaScript. These URLs are visible to any user viewing the page source or browser developer tools.</w:t>
      </w:r>
    </w:p>
    <w:p>
      <w:pPr>
        <w:spacing w:after="100"/>
      </w:pPr>
      <w:r>
        <w:rPr>
          <w:rFonts w:ascii="Arial" w:cs="Arial" w:eastAsia="Arial" w:hAnsi="Arial"/>
          <w:b/>
          <w:bCs/>
          <w:sz w:val="20"/>
          <w:szCs w:val="20"/>
        </w:rPr>
        <w:t xml:space="preserve">Risk: </w:t>
      </w:r>
      <w:r>
        <w:rPr>
          <w:rFonts w:ascii="Arial" w:cs="Arial" w:eastAsia="Arial" w:hAnsi="Arial"/>
          <w:sz w:val="20"/>
          <w:szCs w:val="20"/>
        </w:rPr>
        <w:t xml:space="preserve">An attacker could extract these URLs and submit arbitrary data to the Power Automate workflows, potentially: injecting false referrals or support requests into the system, overwhelming the workflows (denial of service), submitting malicious file attachments, or exfiltrating information about the workflow structure.</w:t>
      </w:r>
    </w:p>
    <w:p>
      <w:pPr>
        <w:spacing w:after="100"/>
      </w:pPr>
      <w:r>
        <w:rPr>
          <w:rFonts w:ascii="Arial" w:cs="Arial" w:eastAsia="Arial" w:hAnsi="Arial"/>
          <w:b/>
          <w:bCs/>
          <w:sz w:val="20"/>
          <w:szCs w:val="20"/>
        </w:rPr>
        <w:t xml:space="preserve">Recommendation: </w:t>
      </w:r>
      <w:r>
        <w:rPr>
          <w:rFonts w:ascii="Arial" w:cs="Arial" w:eastAsia="Arial" w:hAnsi="Arial"/>
          <w:sz w:val="20"/>
          <w:szCs w:val="20"/>
        </w:rPr>
        <w:t xml:space="preserve">Immediately rotate all SAS tokens. Implement a backend API proxy so that webhook URLs are never exposed to the client. Use Azure API Management or a serverless function as an intermediary.</w:t>
      </w:r>
    </w:p>
    <w:p>
      <w:r>
        <w:br w:type="page"/>
      </w:r>
    </w:p>
    <w:p>
      <w:pPr>
        <w:pStyle w:val="Heading1"/>
        <w:spacing w:before="300" w:after="150"/>
      </w:pPr>
      <w:r>
        <w:rPr>
          <w:rFonts w:ascii="Arial" w:cs="Arial" w:eastAsia="Arial" w:hAnsi="Arial"/>
        </w:rPr>
        <w:t xml:space="preserve">7. Security Headers &amp; Infrastructure</w:t>
      </w:r>
    </w:p>
    <w:p>
      <w:pPr>
        <w:pStyle w:val="Heading2"/>
        <w:spacing w:before="300" w:after="150"/>
      </w:pPr>
      <w:r>
        <w:rPr>
          <w:rFonts w:ascii="Arial" w:cs="Arial" w:eastAsia="Arial" w:hAnsi="Arial"/>
        </w:rPr>
        <w:t xml:space="preserve">7.1 HTTP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Header</w:t>
            </w:r>
          </w:p>
        </w:tc>
        <w:tc>
          <w:tcPr>
            <w:tcW w:type="dxa" w:w="356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Configuration</w:t>
            </w:r>
          </w:p>
        </w:tc>
        <w:tc>
          <w:tcPr>
            <w:tcW w:type="dxa" w:w="15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15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Strict-Transport-Security</w:t>
            </w:r>
          </w:p>
        </w:tc>
        <w:tc>
          <w:tcPr>
            <w:tcW w:type="dxa" w:w="35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max-age=31536000; includeSubDomains</w:t>
            </w:r>
          </w:p>
        </w:tc>
        <w:tc>
          <w:tcPr>
            <w:tcW w:type="dxa" w:w="15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6A34A"/>
                <w:sz w:val="18"/>
                <w:szCs w:val="18"/>
              </w:rPr>
              <w:t xml:space="preserve">Good</w:t>
            </w:r>
          </w:p>
        </w:tc>
        <w:tc>
          <w:tcPr>
            <w:tcW w:type="dxa" w:w="15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6A34A"/>
                <w:sz w:val="18"/>
                <w:szCs w:val="18"/>
              </w:rPr>
              <w:t xml:space="preserve">LOW</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X-Content-Type-Options</w:t>
            </w:r>
          </w:p>
        </w:tc>
        <w:tc>
          <w:tcPr>
            <w:tcW w:type="dxa" w:w="35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nosniff</w:t>
            </w:r>
          </w:p>
        </w:tc>
        <w:tc>
          <w:tcPr>
            <w:tcW w:type="dxa" w:w="15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6A34A"/>
                <w:sz w:val="18"/>
                <w:szCs w:val="18"/>
              </w:rPr>
              <w:t xml:space="preserve">Good</w:t>
            </w:r>
          </w:p>
        </w:tc>
        <w:tc>
          <w:tcPr>
            <w:tcW w:type="dxa" w:w="15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6A34A"/>
                <w:sz w:val="18"/>
                <w:szCs w:val="18"/>
              </w:rPr>
              <w:t xml:space="preserve">LOW</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X-Frame-Options</w:t>
            </w:r>
          </w:p>
        </w:tc>
        <w:tc>
          <w:tcPr>
            <w:tcW w:type="dxa" w:w="35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SAMEORIGIN</w:t>
            </w:r>
          </w:p>
        </w:tc>
        <w:tc>
          <w:tcPr>
            <w:tcW w:type="dxa" w:w="15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6A34A"/>
                <w:sz w:val="18"/>
                <w:szCs w:val="18"/>
              </w:rPr>
              <w:t xml:space="preserve">Good</w:t>
            </w:r>
          </w:p>
        </w:tc>
        <w:tc>
          <w:tcPr>
            <w:tcW w:type="dxa" w:w="15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6A34A"/>
                <w:sz w:val="18"/>
                <w:szCs w:val="18"/>
              </w:rPr>
              <w:t xml:space="preserve">LOW</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Referrer-Policy</w:t>
            </w:r>
          </w:p>
        </w:tc>
        <w:tc>
          <w:tcPr>
            <w:tcW w:type="dxa" w:w="35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strict-origin-when-cross-origin</w:t>
            </w:r>
          </w:p>
        </w:tc>
        <w:tc>
          <w:tcPr>
            <w:tcW w:type="dxa" w:w="15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6A34A"/>
                <w:sz w:val="18"/>
                <w:szCs w:val="18"/>
              </w:rPr>
              <w:t xml:space="preserve">Adequate</w:t>
            </w:r>
          </w:p>
        </w:tc>
        <w:tc>
          <w:tcPr>
            <w:tcW w:type="dxa" w:w="15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6A34A"/>
                <w:sz w:val="18"/>
                <w:szCs w:val="18"/>
              </w:rPr>
              <w:t xml:space="preserve">LOW</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Content-Security-Policy</w:t>
            </w:r>
          </w:p>
        </w:tc>
        <w:tc>
          <w:tcPr>
            <w:tcW w:type="dxa" w:w="35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Configured with unsafe-inline for script-src and style-src</w:t>
            </w:r>
          </w:p>
        </w:tc>
        <w:tc>
          <w:tcPr>
            <w:tcW w:type="dxa" w:w="15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Weak</w:t>
            </w:r>
          </w:p>
        </w:tc>
        <w:tc>
          <w:tcPr>
            <w:tcW w:type="dxa" w:w="15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HIGH</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Permissions-Policy</w:t>
            </w:r>
          </w:p>
        </w:tc>
        <w:tc>
          <w:tcPr>
            <w:tcW w:type="dxa" w:w="35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Not configured</w:t>
            </w:r>
          </w:p>
        </w:tc>
        <w:tc>
          <w:tcPr>
            <w:tcW w:type="dxa" w:w="15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Missing</w:t>
            </w:r>
          </w:p>
        </w:tc>
        <w:tc>
          <w:tcPr>
            <w:tcW w:type="dxa" w:w="15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B45309"/>
                <w:sz w:val="18"/>
                <w:szCs w:val="18"/>
              </w:rPr>
              <w:t xml:space="preserve">MEDIUM</w:t>
            </w:r>
          </w:p>
        </w:tc>
      </w:tr>
    </w:tbl>
    <w:p>
      <w:pPr>
        <w:pStyle w:val="Heading2"/>
        <w:spacing w:before="300" w:after="150"/>
      </w:pPr>
      <w:r>
        <w:rPr>
          <w:rFonts w:ascii="Arial" w:cs="Arial" w:eastAsia="Arial" w:hAnsi="Arial"/>
        </w:rPr>
        <w:t xml:space="preserve">7.2 Content Security Policy Analysis</w:t>
      </w:r>
    </w:p>
    <w:p>
      <w:pPr>
        <w:spacing w:after="120"/>
      </w:pPr>
      <w:r>
        <w:rPr>
          <w:rFonts w:ascii="Arial" w:cs="Arial" w:eastAsia="Arial" w:hAnsi="Arial"/>
          <w:sz w:val="20"/>
          <w:szCs w:val="20"/>
        </w:rPr>
        <w:t xml:space="preserve">The CSP includes ‘unsafe-inline’ for both script-src and style-src, which significantly weakens XSS protection. The .htaccess comments acknowledge this is temporary (“required for Tailwind/GTM/Fonts”) but it remains a risk in production.</w:t>
      </w:r>
    </w:p>
    <w:p>
      <w:pPr>
        <w:spacing w:after="100"/>
      </w:pPr>
      <w:r>
        <w:rPr>
          <w:rFonts w:ascii="Arial" w:cs="Arial" w:eastAsia="Arial" w:hAnsi="Arial"/>
          <w:b/>
          <w:bCs/>
          <w:sz w:val="20"/>
          <w:szCs w:val="20"/>
        </w:rPr>
        <w:t xml:space="preserve">CSP Allowed External Domains:</w:t>
      </w:r>
      <w:r>
        <w:rPr>
          <w:rFonts w:ascii="Arial" w:cs="Arial" w:eastAsia="Arial" w:hAnsi="Arial"/>
          <w:sz w:val="20"/>
          <w:szCs w:val="20"/>
        </w:rPr>
        <w:t xml:space="preserve"/>
      </w:r>
    </w:p>
    <w:p>
      <w:pPr>
        <w:pStyle w:val="ListParagraph"/>
        <w:numPr>
          <w:ilvl w:val="0"/>
          <w:numId w:val="2"/>
        </w:numPr>
        <w:spacing w:after="60"/>
      </w:pPr>
      <w:r>
        <w:rPr>
          <w:rFonts w:ascii="Arial" w:cs="Arial" w:eastAsia="Arial" w:hAnsi="Arial"/>
          <w:sz w:val="20"/>
          <w:szCs w:val="20"/>
        </w:rPr>
        <w:t xml:space="preserve">Scripts: www.googletagmanager.com</w:t>
      </w:r>
    </w:p>
    <w:p>
      <w:pPr>
        <w:pStyle w:val="ListParagraph"/>
        <w:numPr>
          <w:ilvl w:val="0"/>
          <w:numId w:val="2"/>
        </w:numPr>
        <w:spacing w:after="60"/>
      </w:pPr>
      <w:r>
        <w:rPr>
          <w:rFonts w:ascii="Arial" w:cs="Arial" w:eastAsia="Arial" w:hAnsi="Arial"/>
          <w:sz w:val="20"/>
          <w:szCs w:val="20"/>
        </w:rPr>
        <w:t xml:space="preserve">Fonts: fonts.googleapis.com, fonts.gstatic.com</w:t>
      </w:r>
    </w:p>
    <w:p>
      <w:pPr>
        <w:pStyle w:val="ListParagraph"/>
        <w:numPr>
          <w:ilvl w:val="0"/>
          <w:numId w:val="2"/>
        </w:numPr>
        <w:spacing w:after="60"/>
      </w:pPr>
      <w:r>
        <w:rPr>
          <w:rFonts w:ascii="Arial" w:cs="Arial" w:eastAsia="Arial" w:hAnsi="Arial"/>
          <w:sz w:val="20"/>
          <w:szCs w:val="20"/>
        </w:rPr>
        <w:t xml:space="preserve">Images: *.jotform.com, *.jotfor.ms, google-analytics.com, googletagmanager.com, img.youtube.com</w:t>
      </w:r>
    </w:p>
    <w:p>
      <w:pPr>
        <w:pStyle w:val="ListParagraph"/>
        <w:numPr>
          <w:ilvl w:val="0"/>
          <w:numId w:val="2"/>
        </w:numPr>
        <w:spacing w:after="60"/>
      </w:pPr>
      <w:r>
        <w:rPr>
          <w:rFonts w:ascii="Arial" w:cs="Arial" w:eastAsia="Arial" w:hAnsi="Arial"/>
          <w:sz w:val="20"/>
          <w:szCs w:val="20"/>
        </w:rPr>
        <w:t xml:space="preserve">Frames: youtube.com, youtube-nocookie.com, jotform.com, *.jotform.com, blob:</w:t>
      </w:r>
    </w:p>
    <w:p>
      <w:pPr>
        <w:pStyle w:val="ListParagraph"/>
        <w:numPr>
          <w:ilvl w:val="0"/>
          <w:numId w:val="2"/>
        </w:numPr>
        <w:spacing w:after="60"/>
      </w:pPr>
      <w:r>
        <w:rPr>
          <w:rFonts w:ascii="Arial" w:cs="Arial" w:eastAsia="Arial" w:hAnsi="Arial"/>
          <w:sz w:val="20"/>
          <w:szCs w:val="20"/>
        </w:rPr>
        <w:t xml:space="preserve">Connect: *.powerplatform.com, *.azure.com, *.jotform.com</w:t>
      </w:r>
    </w:p>
    <w:p>
      <w:pPr>
        <w:pStyle w:val="Heading2"/>
        <w:spacing w:before="300" w:after="150"/>
      </w:pPr>
      <w:r>
        <w:rPr>
          <w:rFonts w:ascii="Arial" w:cs="Arial" w:eastAsia="Arial" w:hAnsi="Arial"/>
        </w:rPr>
        <w:t xml:space="preserve">7.3 CORS Configuration</w:t>
      </w:r>
    </w:p>
    <w:p>
      <w:pPr>
        <w:spacing w:after="120"/>
      </w:pPr>
      <w:r>
        <w:rPr>
          <w:rFonts w:ascii="Arial" w:cs="Arial" w:eastAsia="Arial" w:hAnsi="Arial"/>
          <w:sz w:val="20"/>
          <w:szCs w:val="20"/>
        </w:rPr>
        <w:t xml:space="preserve">CORS is restricted to: crosscaregroup.com.au, testing.crosscaregroup.com.au, and localhost (development). This is appropriately restrictive.</w:t>
      </w:r>
    </w:p>
    <w:p>
      <w:r>
        <w:br w:type="page"/>
      </w:r>
    </w:p>
    <w:p>
      <w:pPr>
        <w:pStyle w:val="Heading1"/>
        <w:spacing w:before="300" w:after="150"/>
      </w:pPr>
      <w:r>
        <w:rPr>
          <w:rFonts w:ascii="Arial" w:cs="Arial" w:eastAsia="Arial" w:hAnsi="Arial"/>
        </w:rPr>
        <w:t xml:space="preserve">8. Australian Privacy Principles (APPs)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400"/>
        <w:gridCol w:w="4960"/>
      </w:tblGrid>
      <w:tr>
        <w:tc>
          <w:tcPr>
            <w:tcW w:type="dxa" w:w="7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APP</w:t>
            </w:r>
          </w:p>
        </w:tc>
        <w:tc>
          <w:tcPr>
            <w:tcW w:type="dxa" w:w="23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Requirement</w:t>
            </w:r>
          </w:p>
        </w:tc>
        <w:tc>
          <w:tcPr>
            <w:tcW w:type="dxa" w:w="14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496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Findings &amp; Gap</w:t>
            </w:r>
          </w:p>
        </w:tc>
      </w:tr>
      <w:tr>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w:t>
            </w:r>
          </w:p>
        </w:tc>
        <w:tc>
          <w:tcPr>
            <w:tcW w:type="dxa" w:w="2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Open &amp; transparent management</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Privacy policy is ~150 words and omits most mandatory disclosures. No APP Privacy Policy document meeting the 13 required elements.</w:t>
            </w:r>
          </w:p>
        </w:tc>
      </w:tr>
      <w:tr>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w:t>
            </w:r>
          </w:p>
        </w:tc>
        <w:tc>
          <w:tcPr>
            <w:tcW w:type="dxa" w:w="2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Anonymity &amp; pseudonymity</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Partial</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Feedback form allows anonymity. However, most forms require identification without justification for why anonymity is not practical.</w:t>
            </w:r>
          </w:p>
        </w:tc>
      </w:tr>
      <w:tr>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3</w:t>
            </w:r>
          </w:p>
        </w:tc>
        <w:tc>
          <w:tcPr>
            <w:tcW w:type="dxa" w:w="2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Collection of solicited information</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Partial</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Sensitive health data collected on referral form. Consent checkbox present but not “informed” consent — does not disclose purpose, recipients, or consequences of non-provision.</w:t>
            </w:r>
          </w:p>
        </w:tc>
      </w:tr>
      <w:tr>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w:t>
            </w:r>
          </w:p>
        </w:tc>
        <w:tc>
          <w:tcPr>
            <w:tcW w:type="dxa" w:w="2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Dealing with unsolicited information</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N/A</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All data is directly solicited through forms.</w:t>
            </w:r>
          </w:p>
        </w:tc>
      </w:tr>
      <w:tr>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5</w:t>
            </w:r>
          </w:p>
        </w:tc>
        <w:tc>
          <w:tcPr>
            <w:tcW w:type="dxa" w:w="2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Notification of collection</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Forms do not provide collection notices stating: identity of collector, purpose, legal basis, recipients, overseas transfers, or consequences of non-provision.</w:t>
            </w:r>
          </w:p>
        </w:tc>
      </w:tr>
      <w:tr>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6</w:t>
            </w:r>
          </w:p>
        </w:tc>
        <w:tc>
          <w:tcPr>
            <w:tcW w:type="dxa" w:w="2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Use or disclosure</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Data shared with Microsoft Azure/Power Automate and potentially Google without disclosure. No “purpose limitation” statement.</w:t>
            </w:r>
          </w:p>
        </w:tc>
      </w:tr>
      <w:tr>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7</w:t>
            </w:r>
          </w:p>
        </w:tc>
        <w:tc>
          <w:tcPr>
            <w:tcW w:type="dxa" w:w="2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Direct marketing</w:t>
            </w:r>
          </w:p>
        </w:tc>
        <w:tc>
          <w:tcPr>
            <w:tcW w:type="dxa" w:w="14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6A34A"/>
                <w:sz w:val="18"/>
                <w:szCs w:val="18"/>
              </w:rPr>
              <w:t xml:space="preserve">Compliant</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Policy states “no marketing”. No marketing scripts detected.</w:t>
            </w:r>
          </w:p>
        </w:tc>
      </w:tr>
      <w:tr>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8</w:t>
            </w:r>
          </w:p>
        </w:tc>
        <w:tc>
          <w:tcPr>
            <w:tcW w:type="dxa" w:w="2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Cross-border disclosure</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Data transmitted to Microsoft Azure (may be overseas) and Google (US). No cross-border disclosure or adequacy assessment.</w:t>
            </w:r>
          </w:p>
        </w:tc>
      </w:tr>
      <w:tr>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9</w:t>
            </w:r>
          </w:p>
        </w:tc>
        <w:tc>
          <w:tcPr>
            <w:tcW w:type="dxa" w:w="2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Government-related identifiers</w:t>
            </w:r>
          </w:p>
        </w:tc>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At Risk</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NDIS plan information may constitute government-related identifiers. No specific handling protocols documented.</w:t>
            </w:r>
          </w:p>
        </w:tc>
      </w:tr>
      <w:tr>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10</w:t>
            </w:r>
          </w:p>
        </w:tc>
        <w:tc>
          <w:tcPr>
            <w:tcW w:type="dxa" w:w="2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Quality of personal information</w:t>
            </w:r>
          </w:p>
        </w:tc>
        <w:tc>
          <w:tcPr>
            <w:tcW w:type="dxa" w:w="14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6A34A"/>
                <w:sz w:val="18"/>
                <w:szCs w:val="18"/>
              </w:rPr>
              <w:t xml:space="preserve">Adequate</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Form validation ensures required fields are completed. Data sanitisation in forms.js.</w:t>
            </w:r>
          </w:p>
        </w:tc>
      </w:tr>
      <w:tr>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11</w:t>
            </w:r>
          </w:p>
        </w:tc>
        <w:tc>
          <w:tcPr>
            <w:tcW w:type="dxa" w:w="2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Security of personal information</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Partial</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HTTPS enforced, security headers in place. However: API tokens exposed in client code, ‘unsafe-inline’ CSP, client-side-only file validation.</w:t>
            </w:r>
          </w:p>
        </w:tc>
      </w:tr>
      <w:tr>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12</w:t>
            </w:r>
          </w:p>
        </w:tc>
        <w:tc>
          <w:tcPr>
            <w:tcW w:type="dxa" w:w="2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Access to personal information</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Minimal</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Policy mentions 2-business-day response for data access. No formal process, form, or mechanism provided.</w:t>
            </w:r>
          </w:p>
        </w:tc>
      </w:tr>
      <w:tr>
        <w:tc>
          <w:tcPr>
            <w:tcW w:type="dxa" w:w="7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13</w:t>
            </w:r>
          </w:p>
        </w:tc>
        <w:tc>
          <w:tcPr>
            <w:tcW w:type="dxa" w:w="23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Correction of personal information</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49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mention of correction rights or mechanism.</w:t>
            </w:r>
          </w:p>
        </w:tc>
      </w:tr>
    </w:tbl>
    <w:p>
      <w:r>
        <w:br w:type="page"/>
      </w:r>
    </w:p>
    <w:p>
      <w:pPr>
        <w:pStyle w:val="Heading1"/>
        <w:spacing w:before="300" w:after="150"/>
      </w:pPr>
      <w:r>
        <w:rPr>
          <w:rFonts w:ascii="Arial" w:cs="Arial" w:eastAsia="Arial" w:hAnsi="Arial"/>
        </w:rPr>
        <w:t xml:space="preserve">9. GDPR Compliance Assessment</w:t>
      </w:r>
    </w:p>
    <w:p>
      <w:pPr>
        <w:spacing w:after="120"/>
      </w:pPr>
      <w:r>
        <w:rPr>
          <w:rFonts w:ascii="Arial" w:cs="Arial" w:eastAsia="Arial" w:hAnsi="Arial"/>
          <w:sz w:val="20"/>
          <w:szCs w:val="20"/>
        </w:rPr>
        <w:t xml:space="preserve">If the website is accessible to EU residents (which it is, as a publicly accessible site), GDPR obligations may apply under the “targeting” criterion of Article 3(2).</w:t>
      </w:r>
    </w:p>
    <w:p>
      <w:pPr>
        <w:spacing w:after="12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GDPR Requirement</w:t>
            </w:r>
          </w:p>
        </w:tc>
        <w:tc>
          <w:tcPr>
            <w:tcW w:type="dxa" w:w="14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36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Gap Analysis</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Art. 5 — Principles of processing</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Purpose limitation, data minimisation, and storage limitation principles not documented.</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Art. 6 — Lawful basis</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lawful basis stated for any processing activity.</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Art. 7 — Consent conditions</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Consent is not freely given, specific, informed, and unambiguous. Generic checkbox wording fails “specific” and “informed” requirements.</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Art. 9 — Special category data</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Health data collected without explicit consent that names the specific processing purpose. No Art. 9(2) derogation documented.</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Art. 12–14 — Transparency</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Privacy policy does not contain: identity of controller, DPO contact, processing purposes, legal basis, recipients, transfer safeguards, retention periods, or data subject rights.</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Art. 15–22 — Data subject rights</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Only access right partially addressed. Missing: rectification, erasure, portability, restriction, objection, automated decision-making.</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Art. 25 — Data protection by design</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Partial</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Some technical measures (CSP, HSTS, input sanitisation). However, privacy-by-design principles not evidenced in consent flows or data minimisation.</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Art. 28 — Data processor obligations</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Data Processing Agreements (DPAs) evidenced with Microsoft, Google, SiteGround, or Jotform.</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Art. 32 — Security of processing</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Partial</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TLS in transit, HSTS, CSP (with weaknesses). Exposed API tokens undermine otherwise adequate posture.</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Art. 33–34 — Breach notification</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breach notification procedure documented on the website. Security docs reference incident response but no public-facing breach protocol.</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Art. 35 — DPIA</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Data Protection Impact Assessment likely required (health data at scale) but not evidenced.</w:t>
            </w:r>
          </w:p>
        </w:tc>
      </w:tr>
      <w:tr>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Art. 44–49 — International transfers</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Non-Compliant</w:t>
            </w:r>
          </w:p>
        </w:tc>
        <w:tc>
          <w:tcPr>
            <w:tcW w:type="dxa" w:w="53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Data transfers to US (Google) and potentially non-AU Microsoft regions without adequacy decision, SCCs, or binding corporate rules.</w:t>
            </w:r>
          </w:p>
        </w:tc>
      </w:tr>
    </w:tbl>
    <w:p>
      <w:r>
        <w:br w:type="page"/>
      </w:r>
    </w:p>
    <w:p>
      <w:pPr>
        <w:pStyle w:val="Heading1"/>
        <w:spacing w:before="300" w:after="150"/>
      </w:pPr>
      <w:r>
        <w:rPr>
          <w:rFonts w:ascii="Arial" w:cs="Arial" w:eastAsia="Arial" w:hAnsi="Arial"/>
        </w:rPr>
        <w:t xml:space="preserve">10. High-Priority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3200"/>
        <w:gridCol w:w="2160"/>
        <w:gridCol w:w="2200"/>
      </w:tblGrid>
      <w:tr>
        <w:tc>
          <w:tcPr>
            <w:tcW w:type="dxa" w:w="4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14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32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Finding</w:t>
            </w:r>
          </w:p>
        </w:tc>
        <w:tc>
          <w:tcPr>
            <w:tcW w:type="dxa" w:w="216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Regulation</w:t>
            </w:r>
          </w:p>
        </w:tc>
        <w:tc>
          <w:tcPr>
            <w:tcW w:type="dxa" w:w="220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Remediation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CRITICAL</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Privacy policy insufficient for healthcare organisation collecting sensitive data</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APP 1, GDPR Art. 12–14</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Complete rewrite with all mandatory elements</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2</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CRITICAL</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cookie/tracking consent mechanism</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GDPR Art. 7, ePrivacy Dir.</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Deploy CMP before GA4 activation</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3</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CRITICAL</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Power Automate SAS tokens exposed in client-side JavaScript</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APP 11, GDPR Art. 32</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Rotate tokens; implement backend proxy</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4</w:t>
            </w:r>
          </w:p>
        </w:tc>
        <w:tc>
          <w:tcPr>
            <w:tcW w:type="dxa" w:w="1400"/>
            <w:tcBorders>
              <w:top w:val="single" w:color="CBD5E1" w:sz="1"/>
              <w:left w:val="single" w:color="CBD5E1" w:sz="1"/>
              <w:bottom w:val="single" w:color="CBD5E1" w:sz="1"/>
              <w:right w:val="single" w:color="CBD5E1" w:sz="1"/>
            </w:tcBorders>
            <w:shd w:fill="FEE2E2" w:val="clear"/>
            <w:tcMar>
              <w:top w:type="dxa" w:w="60"/>
              <w:left w:type="dxa" w:w="100"/>
              <w:bottom w:type="dxa" w:w="60"/>
              <w:right w:type="dxa" w:w="100"/>
            </w:tcMar>
            <w:vAlign w:val="center"/>
          </w:tcPr>
          <w:p>
            <w:r>
              <w:rPr>
                <w:rFonts w:ascii="Arial" w:cs="Arial" w:eastAsia="Arial" w:hAnsi="Arial"/>
                <w:b/>
                <w:bCs/>
                <w:color w:val="DC2626"/>
                <w:sz w:val="18"/>
                <w:szCs w:val="18"/>
              </w:rPr>
              <w:t xml:space="preserve">CRITICAL</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Third-party data recipients not disclosed</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APP 6, 8; GDPR Art. 13–14, 44–49</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Document all processors in privacy policy</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5</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HIGH</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Health data collected with generic (not informed) consent</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APP 3.3, GDPR Art. 9</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Redesign consent with specific disclosures</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6</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HIGH</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Get Support form has NO consent checkbox</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APP 3, GDPR Art. 6–7</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Add consent checkbox immediately</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7</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HIGH</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data subject rights mechanism (deletion, correction, portability)</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APP 12–13, GDPR Art. 15–22</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Implement rights request portal/form</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8</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D97706"/>
                <w:sz w:val="18"/>
                <w:szCs w:val="18"/>
              </w:rPr>
              <w:t xml:space="preserve">HIGH</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Data Processing Agreements evidenced</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GDPR Art. 28</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Execute DPAs with Microsoft, Google, SiteGround</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9</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B45309"/>
                <w:sz w:val="18"/>
                <w:szCs w:val="18"/>
              </w:rPr>
              <w:t xml:space="preserve">MEDIUM</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CSP allows unsafe-inline (XSS risk)</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APP 11, GDPR Art. 32</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Migrate to nonce/hash-based CSP</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10</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B45309"/>
                <w:sz w:val="18"/>
                <w:szCs w:val="18"/>
              </w:rPr>
              <w:t xml:space="preserve">MEDIUM</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No data retention policy documented</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APP 11, GDPR Art. 5(1)(e)</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Define and publish retention schedule</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11</w:t>
            </w:r>
          </w:p>
        </w:tc>
        <w:tc>
          <w:tcPr>
            <w:tcW w:type="dxa" w:w="1400"/>
            <w:tcBorders>
              <w:top w:val="single" w:color="CBD5E1" w:sz="1"/>
              <w:left w:val="single" w:color="CBD5E1" w:sz="1"/>
              <w:bottom w:val="single" w:color="CBD5E1" w:sz="1"/>
              <w:right w:val="single" w:color="CBD5E1" w:sz="1"/>
            </w:tcBorders>
            <w:shd w:fill="FEF3C7" w:val="clear"/>
            <w:tcMar>
              <w:top w:type="dxa" w:w="60"/>
              <w:left w:type="dxa" w:w="100"/>
              <w:bottom w:type="dxa" w:w="60"/>
              <w:right w:type="dxa" w:w="100"/>
            </w:tcMar>
            <w:vAlign w:val="center"/>
          </w:tcPr>
          <w:p>
            <w:r>
              <w:rPr>
                <w:rFonts w:ascii="Arial" w:cs="Arial" w:eastAsia="Arial" w:hAnsi="Arial"/>
                <w:b/>
                <w:bCs/>
                <w:color w:val="B45309"/>
                <w:sz w:val="18"/>
                <w:szCs w:val="18"/>
              </w:rPr>
              <w:t xml:space="preserve">MEDIUM</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File validation client-side only</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APP 11, GDPR Art. 32</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Add server-side validation and virus scanning</w:t>
            </w:r>
          </w:p>
        </w:tc>
      </w:tr>
      <w:tr>
        <w:tc>
          <w:tcPr>
            <w:tcW w:type="dxa" w:w="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12</w:t>
            </w:r>
          </w:p>
        </w:tc>
        <w:tc>
          <w:tcPr>
            <w:tcW w:type="dxa" w:w="1400"/>
            <w:tcBorders>
              <w:top w:val="single" w:color="CBD5E1" w:sz="1"/>
              <w:left w:val="single" w:color="CBD5E1" w:sz="1"/>
              <w:bottom w:val="single" w:color="CBD5E1" w:sz="1"/>
              <w:right w:val="single" w:color="CBD5E1" w:sz="1"/>
            </w:tcBorders>
            <w:shd w:fill="DCFCE7" w:val="clear"/>
            <w:tcMar>
              <w:top w:type="dxa" w:w="60"/>
              <w:left w:type="dxa" w:w="100"/>
              <w:bottom w:type="dxa" w:w="60"/>
              <w:right w:type="dxa" w:w="100"/>
            </w:tcMar>
            <w:vAlign w:val="center"/>
          </w:tcPr>
          <w:p>
            <w:r>
              <w:rPr>
                <w:rFonts w:ascii="Arial" w:cs="Arial" w:eastAsia="Arial" w:hAnsi="Arial"/>
                <w:b/>
                <w:bCs/>
                <w:color w:val="16A34A"/>
                <w:sz w:val="18"/>
                <w:szCs w:val="18"/>
              </w:rPr>
              <w:t xml:space="preserve">LOW</w:t>
            </w:r>
          </w:p>
        </w:tc>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Google Fonts transmits IP addresses to US servers</w:t>
            </w:r>
          </w:p>
        </w:tc>
        <w:tc>
          <w:tcPr>
            <w:tcW w:type="dxa" w:w="21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GDPR Art. 44–49</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Self-host fonts or disclose in privacy policy</w:t>
            </w:r>
          </w:p>
        </w:tc>
      </w:tr>
    </w:tbl>
    <w:p>
      <w:r>
        <w:br w:type="page"/>
      </w:r>
    </w:p>
    <w:p>
      <w:pPr>
        <w:pStyle w:val="Heading1"/>
        <w:spacing w:before="300" w:after="150"/>
      </w:pPr>
      <w:r>
        <w:rPr>
          <w:rFonts w:ascii="Arial" w:cs="Arial" w:eastAsia="Arial" w:hAnsi="Arial"/>
        </w:rPr>
        <w:t xml:space="preserve">11. Remediation Roadmap</w:t>
      </w:r>
    </w:p>
    <w:p>
      <w:pPr>
        <w:pStyle w:val="Heading2"/>
        <w:spacing w:before="300" w:after="150"/>
      </w:pPr>
      <w:r>
        <w:rPr>
          <w:rFonts w:ascii="Arial" w:cs="Arial" w:eastAsia="Arial" w:hAnsi="Arial"/>
        </w:rPr>
        <w:t xml:space="preserve">Phase 1: Immediate Actions (Days 1–14)</w:t>
      </w:r>
    </w:p>
    <w:p>
      <w:pPr>
        <w:pStyle w:val="ListParagraph"/>
        <w:numPr>
          <w:ilvl w:val="0"/>
          <w:numId w:val="3"/>
        </w:numPr>
        <w:spacing w:after="80"/>
      </w:pPr>
      <w:r>
        <w:rPr>
          <w:rFonts w:ascii="Arial" w:cs="Arial" w:eastAsia="Arial" w:hAnsi="Arial"/>
          <w:sz w:val="20"/>
          <w:szCs w:val="20"/>
        </w:rPr>
        <w:t xml:space="preserve">Rotate all Power Automate SAS tokens and implement a backend API proxy to shield webhook URLs from client exposure.</w:t>
      </w:r>
    </w:p>
    <w:p>
      <w:pPr>
        <w:pStyle w:val="ListParagraph"/>
        <w:numPr>
          <w:ilvl w:val="0"/>
          <w:numId w:val="3"/>
        </w:numPr>
        <w:spacing w:after="80"/>
      </w:pPr>
      <w:r>
        <w:rPr>
          <w:rFonts w:ascii="Arial" w:cs="Arial" w:eastAsia="Arial" w:hAnsi="Arial"/>
          <w:sz w:val="20"/>
          <w:szCs w:val="20"/>
        </w:rPr>
        <w:t xml:space="preserve">Rewrite the privacy policy to include: all data types collected, all third-party recipients, data retention periods, lawful basis for processing, full data subject rights (access, correction, deletion, portability, objection), DPO/privacy officer contact, cross-border transfer disclosures, and cookie/tracking information.</w:t>
      </w:r>
    </w:p>
    <w:p>
      <w:pPr>
        <w:pStyle w:val="ListParagraph"/>
        <w:numPr>
          <w:ilvl w:val="0"/>
          <w:numId w:val="3"/>
        </w:numPr>
        <w:spacing w:after="80"/>
      </w:pPr>
      <w:r>
        <w:rPr>
          <w:rFonts w:ascii="Arial" w:cs="Arial" w:eastAsia="Arial" w:hAnsi="Arial"/>
          <w:sz w:val="20"/>
          <w:szCs w:val="20"/>
        </w:rPr>
        <w:t xml:space="preserve">Add consent checkbox to Get Support form.</w:t>
      </w:r>
    </w:p>
    <w:p>
      <w:pPr>
        <w:pStyle w:val="ListParagraph"/>
        <w:numPr>
          <w:ilvl w:val="0"/>
          <w:numId w:val="3"/>
        </w:numPr>
        <w:spacing w:after="80"/>
      </w:pPr>
      <w:r>
        <w:rPr>
          <w:rFonts w:ascii="Arial" w:cs="Arial" w:eastAsia="Arial" w:hAnsi="Arial"/>
          <w:sz w:val="20"/>
          <w:szCs w:val="20"/>
        </w:rPr>
        <w:t xml:space="preserve">Add inline privacy policy links to all form pages (not just footer).</w:t>
      </w:r>
    </w:p>
    <w:p>
      <w:pPr>
        <w:pStyle w:val="ListParagraph"/>
        <w:numPr>
          <w:ilvl w:val="0"/>
          <w:numId w:val="3"/>
        </w:numPr>
        <w:spacing w:after="80"/>
      </w:pPr>
      <w:r>
        <w:rPr>
          <w:rFonts w:ascii="Arial" w:cs="Arial" w:eastAsia="Arial" w:hAnsi="Arial"/>
          <w:sz w:val="20"/>
          <w:szCs w:val="20"/>
        </w:rPr>
        <w:t xml:space="preserve">Deploy a Cookie Consent Management Platform (e.g., Cookiebot, OneTrust, Termly) configured to block GA4/GTM until consent is obtained.</w:t>
      </w:r>
    </w:p>
    <w:p>
      <w:pPr>
        <w:pStyle w:val="Heading2"/>
        <w:spacing w:before="300" w:after="150"/>
      </w:pPr>
      <w:r>
        <w:rPr>
          <w:rFonts w:ascii="Arial" w:cs="Arial" w:eastAsia="Arial" w:hAnsi="Arial"/>
        </w:rPr>
        <w:t xml:space="preserve">Phase 2: High Priority (Days 15–30)</w:t>
      </w:r>
    </w:p>
    <w:p>
      <w:pPr>
        <w:pStyle w:val="ListParagraph"/>
        <w:numPr>
          <w:ilvl w:val="0"/>
          <w:numId w:val="3"/>
        </w:numPr>
        <w:spacing w:after="80"/>
      </w:pPr>
      <w:r>
        <w:rPr>
          <w:rFonts w:ascii="Arial" w:cs="Arial" w:eastAsia="Arial" w:hAnsi="Arial"/>
          <w:sz w:val="20"/>
          <w:szCs w:val="20"/>
        </w:rPr>
        <w:t xml:space="preserve">Redesign referral form consent to include specific disclosures about data processing, recipients (Microsoft), retention, and rights.</w:t>
      </w:r>
    </w:p>
    <w:p>
      <w:pPr>
        <w:pStyle w:val="ListParagraph"/>
        <w:numPr>
          <w:ilvl w:val="0"/>
          <w:numId w:val="3"/>
        </w:numPr>
        <w:spacing w:after="80"/>
      </w:pPr>
      <w:r>
        <w:rPr>
          <w:rFonts w:ascii="Arial" w:cs="Arial" w:eastAsia="Arial" w:hAnsi="Arial"/>
          <w:sz w:val="20"/>
          <w:szCs w:val="20"/>
        </w:rPr>
        <w:t xml:space="preserve">Execute Data Processing Agreements with Microsoft (Power Automate/Azure), Google (if Analytics activated), SiteGround (hosting), and any other sub-processors.</w:t>
      </w:r>
    </w:p>
    <w:p>
      <w:pPr>
        <w:pStyle w:val="ListParagraph"/>
        <w:numPr>
          <w:ilvl w:val="0"/>
          <w:numId w:val="3"/>
        </w:numPr>
        <w:spacing w:after="80"/>
      </w:pPr>
      <w:r>
        <w:rPr>
          <w:rFonts w:ascii="Arial" w:cs="Arial" w:eastAsia="Arial" w:hAnsi="Arial"/>
          <w:sz w:val="20"/>
          <w:szCs w:val="20"/>
        </w:rPr>
        <w:t xml:space="preserve">Implement a data subject rights request mechanism (web form or dedicated email address with documented response process).</w:t>
      </w:r>
    </w:p>
    <w:p>
      <w:pPr>
        <w:pStyle w:val="ListParagraph"/>
        <w:numPr>
          <w:ilvl w:val="0"/>
          <w:numId w:val="3"/>
        </w:numPr>
        <w:spacing w:after="80"/>
      </w:pPr>
      <w:r>
        <w:rPr>
          <w:rFonts w:ascii="Arial" w:cs="Arial" w:eastAsia="Arial" w:hAnsi="Arial"/>
          <w:sz w:val="20"/>
          <w:szCs w:val="20"/>
        </w:rPr>
        <w:t xml:space="preserve">Strengthen CSP by replacing ‘unsafe-inline’ with nonce or hash-based directives.</w:t>
      </w:r>
    </w:p>
    <w:p>
      <w:pPr>
        <w:pStyle w:val="ListParagraph"/>
        <w:numPr>
          <w:ilvl w:val="0"/>
          <w:numId w:val="3"/>
        </w:numPr>
        <w:spacing w:after="80"/>
      </w:pPr>
      <w:r>
        <w:rPr>
          <w:rFonts w:ascii="Arial" w:cs="Arial" w:eastAsia="Arial" w:hAnsi="Arial"/>
          <w:sz w:val="20"/>
          <w:szCs w:val="20"/>
        </w:rPr>
        <w:t xml:space="preserve">Add Permissions-Policy header to restrict browser API access.</w:t>
      </w:r>
    </w:p>
    <w:p>
      <w:pPr>
        <w:pStyle w:val="Heading2"/>
        <w:spacing w:before="300" w:after="150"/>
      </w:pPr>
      <w:r>
        <w:rPr>
          <w:rFonts w:ascii="Arial" w:cs="Arial" w:eastAsia="Arial" w:hAnsi="Arial"/>
        </w:rPr>
        <w:t xml:space="preserve">Phase 3: Ongoing Compliance (Days 31–90)</w:t>
      </w:r>
    </w:p>
    <w:p>
      <w:pPr>
        <w:pStyle w:val="ListParagraph"/>
        <w:numPr>
          <w:ilvl w:val="0"/>
          <w:numId w:val="3"/>
        </w:numPr>
        <w:spacing w:after="80"/>
      </w:pPr>
      <w:r>
        <w:rPr>
          <w:rFonts w:ascii="Arial" w:cs="Arial" w:eastAsia="Arial" w:hAnsi="Arial"/>
          <w:sz w:val="20"/>
          <w:szCs w:val="20"/>
        </w:rPr>
        <w:t xml:space="preserve">Conduct and document a Data Protection Impact Assessment (DPIA) for health data processing.</w:t>
      </w:r>
    </w:p>
    <w:p>
      <w:pPr>
        <w:pStyle w:val="ListParagraph"/>
        <w:numPr>
          <w:ilvl w:val="0"/>
          <w:numId w:val="3"/>
        </w:numPr>
        <w:spacing w:after="80"/>
      </w:pPr>
      <w:r>
        <w:rPr>
          <w:rFonts w:ascii="Arial" w:cs="Arial" w:eastAsia="Arial" w:hAnsi="Arial"/>
          <w:sz w:val="20"/>
          <w:szCs w:val="20"/>
        </w:rPr>
        <w:t xml:space="preserve">Define and publish data retention schedule per data category.</w:t>
      </w:r>
    </w:p>
    <w:p>
      <w:pPr>
        <w:pStyle w:val="ListParagraph"/>
        <w:numPr>
          <w:ilvl w:val="0"/>
          <w:numId w:val="3"/>
        </w:numPr>
        <w:spacing w:after="80"/>
      </w:pPr>
      <w:r>
        <w:rPr>
          <w:rFonts w:ascii="Arial" w:cs="Arial" w:eastAsia="Arial" w:hAnsi="Arial"/>
          <w:sz w:val="20"/>
          <w:szCs w:val="20"/>
        </w:rPr>
        <w:t xml:space="preserve">Implement server-side file upload validation and virus scanning.</w:t>
      </w:r>
    </w:p>
    <w:p>
      <w:pPr>
        <w:pStyle w:val="ListParagraph"/>
        <w:numPr>
          <w:ilvl w:val="0"/>
          <w:numId w:val="3"/>
        </w:numPr>
        <w:spacing w:after="80"/>
      </w:pPr>
      <w:r>
        <w:rPr>
          <w:rFonts w:ascii="Arial" w:cs="Arial" w:eastAsia="Arial" w:hAnsi="Arial"/>
          <w:sz w:val="20"/>
          <w:szCs w:val="20"/>
        </w:rPr>
        <w:t xml:space="preserve">Self-host Google Fonts to eliminate IP address transmission to Google.</w:t>
      </w:r>
    </w:p>
    <w:p>
      <w:pPr>
        <w:pStyle w:val="ListParagraph"/>
        <w:numPr>
          <w:ilvl w:val="0"/>
          <w:numId w:val="3"/>
        </w:numPr>
        <w:spacing w:after="80"/>
      </w:pPr>
      <w:r>
        <w:rPr>
          <w:rFonts w:ascii="Arial" w:cs="Arial" w:eastAsia="Arial" w:hAnsi="Arial"/>
          <w:sz w:val="20"/>
          <w:szCs w:val="20"/>
        </w:rPr>
        <w:t xml:space="preserve">Establish Notifiable Data Breach response plan aligned with the NDB scheme (72-hour notification to OAIC).</w:t>
      </w:r>
    </w:p>
    <w:p>
      <w:pPr>
        <w:pStyle w:val="ListParagraph"/>
        <w:numPr>
          <w:ilvl w:val="0"/>
          <w:numId w:val="3"/>
        </w:numPr>
        <w:spacing w:after="80"/>
      </w:pPr>
      <w:r>
        <w:rPr>
          <w:rFonts w:ascii="Arial" w:cs="Arial" w:eastAsia="Arial" w:hAnsi="Arial"/>
          <w:sz w:val="20"/>
          <w:szCs w:val="20"/>
        </w:rPr>
        <w:t xml:space="preserve">Schedule quarterly compliance reviews and annual privacy audits.</w:t>
      </w:r>
    </w:p>
    <w:p>
      <w:r>
        <w:br w:type="page"/>
      </w:r>
    </w:p>
    <w:p>
      <w:pPr>
        <w:pStyle w:val="Heading1"/>
        <w:spacing w:before="300" w:after="150"/>
      </w:pPr>
      <w:r>
        <w:rPr>
          <w:rFonts w:ascii="Arial" w:cs="Arial" w:eastAsia="Arial" w:hAnsi="Arial"/>
        </w:rPr>
        <w:t xml:space="preserve">12. Appendix: Files Assessed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File / Path</w:t>
            </w:r>
          </w:p>
        </w:tc>
        <w:tc>
          <w:tcPr>
            <w:tcW w:type="dxa" w:w="4680"/>
            <w:tcBorders>
              <w:top w:val="single" w:color="CBD5E1" w:sz="1"/>
              <w:left w:val="single" w:color="CBD5E1" w:sz="1"/>
              <w:bottom w:val="single" w:color="CBD5E1" w:sz="1"/>
              <w:right w:val="single" w:color="CBD5E1" w:sz="1"/>
            </w:tcBorders>
            <w:shd w:fill="003B5C" w:val="clear"/>
            <w:tcMar>
              <w:top w:type="dxa" w:w="60"/>
              <w:left w:type="dxa" w:w="100"/>
              <w:bottom w:type="dxa" w:w="60"/>
              <w:right w:type="dxa" w:w="100"/>
            </w:tcMar>
            <w:vAlign w:val="center"/>
          </w:tcPr>
          <w:p>
            <w:r>
              <w:rPr>
                <w:rFonts w:ascii="Arial" w:cs="Arial" w:eastAsia="Arial" w:hAnsi="Arial"/>
                <w:b/>
                <w:bCs/>
                <w:color w:val="FFFFFF"/>
                <w:sz w:val="18"/>
                <w:szCs w:val="18"/>
              </w:rPr>
              <w:t xml:space="preserve">Assessment Area</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index.html</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GA4 placeholder, CSP meta tag, Schema.org data</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js/config.js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API endpoints, SAS tokens, security config</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js/forms.js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Form engine, XSS prevention, rate limiting, consent handling</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js/auth.js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OIDC/PKCE authentication, sessionStorage usage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.htaccess</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Security headers, CSP, CORS, HSTS, caching</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legal/privacy-policy/index.html</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Privacy policy content and APP/GDPR compliance</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legal/terms-of-use/index.html</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Terms of use, liability, and data references</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contact/index.html</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Contact form, consent checkbox, data fields</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make-a-referral/index.html</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Medical referral form, health data, NDIS fields, consent</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get-support/index.html</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Support form, missing consent checkbox</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careers/expression-of-interest/index.html</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EOI form, CV upload, consent</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rights-feedback-complaints/index.html</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Feedback and complaint forms, anonymity options</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robots.txt, sitemap.xml</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Crawling rules, indexed pages</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.github/workflows/deploy.yml</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Deployment pipeline, FTP credentials handling</w:t>
            </w:r>
          </w:p>
        </w:tc>
      </w:tr>
      <w:tr>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SECURITY.md, SECURITY_SUMMARY.md</w:t>
            </w:r>
          </w:p>
        </w:tc>
        <w:tc>
          <w:tcPr>
            <w:tcW w:type="dxa" w:w="468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r>
              <w:rPr>
                <w:rFonts w:ascii="Arial" w:cs="Arial" w:eastAsia="Arial" w:hAnsi="Arial"/>
                <w:b w:val="false"/>
                <w:bCs w:val="false"/>
                <w:color w:val="1E293B"/>
                <w:sz w:val="18"/>
                <w:szCs w:val="18"/>
              </w:rPr>
              <w:t xml:space="preserve">Internal security documentation</w:t>
            </w:r>
          </w:p>
        </w:tc>
      </w:tr>
    </w:tbl>
    <w:p>
      <w:pPr>
        <w:spacing w:after="120"/>
      </w:pPr>
      <w:r>
        <w:rPr>
          <w:rFonts w:ascii="Arial" w:cs="Arial" w:eastAsia="Arial" w:hAnsi="Arial"/>
          <w:sz w:val="20"/>
          <w:szCs w:val="20"/>
        </w:rPr>
        <w:t xml:space="preserve"> </w:t>
      </w:r>
    </w:p>
    <w:p>
      <w:pPr>
        <w:spacing w:after="120"/>
      </w:pPr>
      <w:r>
        <w:rPr>
          <w:rFonts w:ascii="Arial" w:cs="Arial" w:eastAsia="Arial" w:hAnsi="Arial"/>
          <w:sz w:val="20"/>
          <w:szCs w:val="20"/>
        </w:rPr>
        <w:t xml:space="preserve"> </w:t>
      </w:r>
    </w:p>
    <w:p>
      <w:pPr>
        <w:pBdr>
          <w:top w:val="single" w:color="0096A1" w:sz="2" w:space="8"/>
        </w:pBdr>
        <w:spacing w:before="400"/>
        <w:jc w:val="center"/>
      </w:pPr>
      <w:r>
        <w:rPr>
          <w:rFonts w:ascii="Arial" w:cs="Arial" w:eastAsia="Arial" w:hAnsi="Arial"/>
          <w:i/>
          <w:iCs/>
          <w:color w:val="64748B"/>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center"/>
    </w:pPr>
    <w:r>
      <w:rPr>
        <w:rFonts w:ascii="Arial" w:cs="Arial" w:eastAsia="Arial" w:hAnsi="Arial"/>
        <w:color w:val="64748B"/>
        <w:sz w:val="16"/>
        <w:szCs w:val="16"/>
      </w:rPr>
      <w:t xml:space="preserve">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6A1" w:sz="2" w:space="4"/>
      </w:pBdr>
    </w:pPr>
    <w:r>
      <w:rPr>
        <w:rFonts w:ascii="Arial" w:cs="Arial" w:eastAsia="Arial" w:hAnsi="Arial"/>
        <w:i/>
        <w:iCs/>
        <w:color w:val="64748B"/>
        <w:sz w:val="16"/>
        <w:szCs w:val="16"/>
      </w:rPr>
      <w:t xml:space="preserve">Cross Care Group — Privacy Compliance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3B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96A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3B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2026-02-16T02:33:31.768Z</dcterms:created>
  <dcterms:modified xsi:type="dcterms:W3CDTF">2026-02-16T02:33:31.769Z</dcterms:modified>
</cp:coreProperties>
</file>

<file path=docProps/custom.xml><?xml version="1.0" encoding="utf-8"?>
<Properties xmlns="http://schemas.openxmlformats.org/officeDocument/2006/custom-properties" xmlns:vt="http://schemas.openxmlformats.org/officeDocument/2006/docPropsVTypes"/>
</file>