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Cross-entropy loss explicitly rewards the single ground-truth token per training sample. Can we improve training by also rewarding similar tokens (with respect to the embedding space)?</w:t>
      </w:r>
    </w:p>
    <w:bookmarkEnd w:id="20"/>
    <w:bookmarkStart w:id="46" w:name="answer"/>
    <w:p>
      <w:pPr>
        <w:pStyle w:val="Heading1"/>
      </w:pPr>
      <w:r>
        <w:t xml:space="preserve">Answer</w:t>
      </w:r>
    </w:p>
    <w:p>
      <w:pPr>
        <w:pStyle w:val="FirstParagraph"/>
      </w:pPr>
      <w:r>
        <w:rPr>
          <w:bCs/>
          <w:b/>
        </w:rPr>
        <w:t xml:space="preserve">No</w:t>
      </w:r>
      <w:r>
        <w:t xml:space="preserve">, at least not in our experiments.</w:t>
      </w:r>
    </w:p>
    <w:p>
      <w:pPr>
        <w:pStyle w:val="BodyText"/>
      </w:pPr>
      <w:r>
        <w:t xml:space="preserve">Nonetheless, we were able to show that a purely embedding-based loss correlates well with standard cross-entropy loss.</w:t>
      </w:r>
    </w:p>
    <w:p>
      <w:pPr>
        <w:pStyle w:val="BodyText"/>
      </w:pPr>
      <w:r>
        <w:t xml:space="preserve">Below, we explain our experiments and methodology.</w:t>
      </w:r>
    </w:p>
    <w:bookmarkStart w:id="44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Standard language models are framed as next-token classifiers trained with cross-entropy, which does not explicitly reward</w:t>
      </w:r>
      <w:r>
        <w:t xml:space="preserve"> </w:t>
      </w:r>
      <w:r>
        <w:t xml:space="preserve">“</w:t>
      </w:r>
      <w:r>
        <w:t xml:space="preserve">near misses</w:t>
      </w:r>
      <w:r>
        <w:t xml:space="preserve">”</w:t>
      </w:r>
      <w:r>
        <w:t xml:space="preserve">. A prediction like</w:t>
      </w:r>
      <w:r>
        <w:t xml:space="preserve"> </w:t>
      </w:r>
      <w:r>
        <w:rPr>
          <w:iCs/>
          <w:i/>
        </w:rPr>
        <w:t xml:space="preserve">large</w:t>
      </w:r>
      <w:r>
        <w:t xml:space="preserve"> </w:t>
      </w:r>
      <w:r>
        <w:t xml:space="preserve">instead of</w:t>
      </w:r>
      <w:r>
        <w:t xml:space="preserve"> </w:t>
      </w:r>
      <w:r>
        <w:rPr>
          <w:iCs/>
          <w:i/>
        </w:rPr>
        <w:t xml:space="preserve">big</w:t>
      </w:r>
      <w:r>
        <w:t xml:space="preserve"> </w:t>
      </w:r>
      <w:r>
        <w:t xml:space="preserve">may be penalized as harshly as nonsense. To address this potential issue, we bias the network towards a structure such that similar tokens in embedding space receive similar gradient updates via backpropagation. Mechanically, we add a term to the loss that measures the similarity between the ground-truth token’s embedding and the softmax-weighted predicted embedding.</w:t>
      </w:r>
    </w:p>
    <w:bookmarkStart w:id="21" w:name="method---adding-an-embedding-loss-term"/>
    <w:p>
      <w:pPr>
        <w:pStyle w:val="Heading3"/>
      </w:pPr>
      <w:r>
        <w:t xml:space="preserve">Method - Adding an</w:t>
      </w:r>
      <w:r>
        <w:t xml:space="preserve"> </w:t>
      </w:r>
      <w:r>
        <w:t xml:space="preserve">“</w:t>
      </w:r>
      <w:r>
        <w:t xml:space="preserve">embedding loss</w:t>
      </w:r>
      <w:r>
        <w:t xml:space="preserve">”</w:t>
      </w:r>
      <w:r>
        <w:t xml:space="preserve"> </w:t>
      </w:r>
      <w:r>
        <w:t xml:space="preserve">term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d>
              <m:dPr>
                <m:begChr m:val="|"/>
                <m:endChr m:val="|"/>
                <m:sepChr m:val=""/>
                <m:grow/>
              </m:dPr>
              <m:e>
                <m:r>
                  <m:t>V</m:t>
                </m:r>
              </m:e>
            </m:d>
          </m:sup>
        </m:sSup>
      </m:oMath>
      <w:r>
        <w:t xml:space="preserve"> </w:t>
      </w:r>
      <w:r>
        <w:t xml:space="preserve">denote the model logits for a single next-token prediction, and let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</m:oMath>
      </m:oMathPara>
    </w:p>
    <w:p>
      <w:pPr>
        <w:pStyle w:val="FirstParagraph"/>
      </w:pPr>
      <w:r>
        <w:t xml:space="preserve">be the predicted distribution over the vocabulary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d>
              <m:dPr>
                <m:begChr m:val="|"/>
                <m:endChr m:val="|"/>
                <m:sepChr m:val="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be the token embedding matrix, where each row corresponds to a token embedding in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. If the ground-truth token is represented by a one-hot vector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d>
              <m:dPr>
                <m:begChr m:val="|"/>
                <m:endChr m:val="|"/>
                <m:sepChr m:val=""/>
                <m:grow/>
              </m:dPr>
              <m:e>
                <m:r>
                  <m:t>V</m:t>
                </m:r>
              </m:e>
            </m:d>
          </m:sup>
        </m:sSup>
      </m:oMath>
      <w:r>
        <w:t xml:space="preserve">, then its embedding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define the model’s predicted embedding as the softmax-weighted average of token embeddings: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e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p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Our auxiliary embedding loss is then defined using cosine similarity: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full training objective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is the usual next-token cross-entropy loss and</w:t>
      </w:r>
      <w:r>
        <w:t xml:space="preserve"> 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controls the strength of the auxiliary term.</w:t>
      </w:r>
    </w:p>
    <w:p>
      <w:pPr>
        <w:pStyle w:val="BodyText"/>
      </w:pPr>
      <w:r>
        <w:t xml:space="preserve">Intuitively, this loss encourages the model to place probability mass on tokens whose embeddings are close to the ground-truth token embedding, so that semantically similar predictions are penalized less harshly than unrelated ones.</w:t>
      </w:r>
    </w:p>
    <w:p>
      <w:pPr>
        <w:pStyle w:val="BodyText"/>
      </w:pPr>
      <w:r>
        <w:t xml:space="preserve">Note that most of our experiments were run with untied embeddings, which in our experiments gave slightly better performance.</w:t>
      </w:r>
    </w:p>
    <w:bookmarkEnd w:id="21"/>
    <w:bookmarkStart w:id="28" w:name="results"/>
    <w:p>
      <w:pPr>
        <w:pStyle w:val="Heading3"/>
      </w:pPr>
      <w:r>
        <w:t xml:space="preserve">Results</w:t>
      </w:r>
    </w:p>
    <w:p>
      <w:pPr>
        <w:pStyle w:val="FirstParagraph"/>
      </w:pPr>
      <w:r>
        <w:t xml:space="preserve">We hypothesized that this extra term might help improve the efficiency of training and lead to faster convergence. This was not the case:</w:t>
      </w:r>
    </w:p>
    <w:p>
      <w:pPr>
        <w:pStyle w:val="CaptionedFigure"/>
      </w:pPr>
      <w:r>
        <w:drawing>
          <wp:inline>
            <wp:extent cx="5334000" cy="6703096"/>
            <wp:effectExtent b="0" l="0" r="0" t="0"/>
            <wp:docPr descr="Screenshot 2026-04-30 at 2 15 39 PM" title="" id="23" name="Picture"/>
            <a:graphic>
              <a:graphicData uri="http://schemas.openxmlformats.org/drawingml/2006/picture">
                <pic:pic>
                  <pic:nvPicPr>
                    <pic:cNvPr descr="_img/fig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3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 2026-04-30 at 2 15 39 PM</w:t>
      </w:r>
    </w:p>
    <w:p>
      <w:pPr>
        <w:pStyle w:val="BodyText"/>
      </w:pPr>
      <w:r>
        <w:rPr>
          <w:iCs/>
          <w:i/>
        </w:rPr>
        <w:t xml:space="preserve">Figure 1. Our extra loss term did not lead to quicker convergence.</w:t>
      </w:r>
    </w:p>
    <w:p>
      <w:pPr>
        <w:pStyle w:val="CaptionedFigure"/>
      </w:pPr>
      <w:r>
        <w:drawing>
          <wp:inline>
            <wp:extent cx="5334000" cy="2321388"/>
            <wp:effectExtent b="0" l="0" r="0" t="0"/>
            <wp:docPr descr="valb_chart_no_ws" title="" id="26" name="Picture"/>
            <a:graphic>
              <a:graphicData uri="http://schemas.openxmlformats.org/drawingml/2006/picture">
                <pic:pic>
                  <pic:nvPicPr>
                    <pic:cNvPr descr="_img/fig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valb_chart_no_ws</w:t>
      </w:r>
    </w:p>
    <w:p>
      <w:pPr>
        <w:pStyle w:val="BodyText"/>
      </w:pPr>
      <w:r>
        <w:rPr>
          <w:iCs/>
          <w:i/>
        </w:rPr>
        <w:t xml:space="preserve">Figure 2. Our extra loss term leads to lower val_bpb after 10 minutes on 1X H100 SFX.</w:t>
      </w:r>
    </w:p>
    <w:bookmarkEnd w:id="28"/>
    <w:bookmarkStart w:id="32" w:name="next-experiment"/>
    <w:p>
      <w:pPr>
        <w:pStyle w:val="Heading3"/>
      </w:pPr>
      <w:r>
        <w:t xml:space="preserve">Next Experiment</w:t>
      </w:r>
    </w:p>
    <w:p>
      <w:pPr>
        <w:pStyle w:val="FirstParagraph"/>
      </w:pPr>
      <w:r>
        <w:t xml:space="preserve">To better understand the results, we wanted to see if our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correlates at all with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b>
        </m:sSub>
      </m:oMath>
      <w:r>
        <w:t xml:space="preserve">. Intuitively, it should, since</w:t>
      </w:r>
      <w:r>
        <w:t xml:space="preserve"> </w:t>
      </w:r>
      <w:r>
        <w:rPr>
          <w:iCs/>
          <w:i/>
        </w:rPr>
        <w:t xml:space="preserve">big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large</w:t>
      </w:r>
      <w:r>
        <w:t xml:space="preserve"> </w:t>
      </w:r>
      <w:r>
        <w:t xml:space="preserve">tend to be close in embedding space and in their next-token prediction probabilities.</w:t>
      </w:r>
    </w:p>
    <w:p>
      <w:pPr>
        <w:pStyle w:val="BodyText"/>
      </w:pPr>
      <w:r>
        <w:t xml:space="preserve">So, we ran an experiment where we</w:t>
      </w:r>
      <w:r>
        <w:t xml:space="preserve"> </w:t>
      </w:r>
      <w:r>
        <w:rPr>
          <w:bCs/>
          <w:b/>
        </w:rPr>
        <w:t xml:space="preserve">completely replace cross-entropy loss with our embedding loss</w:t>
      </w:r>
      <w:r>
        <w:t xml:space="preserve">.</w:t>
      </w:r>
    </w:p>
    <w:p>
      <w:pPr>
        <w:pStyle w:val="BodyText"/>
      </w:pPr>
      <w:r>
        <w:t xml:space="preserve">However, we see immediate collapse in this case; likely the model learned to assign the same embedding to every term in order to game the loss function.</w:t>
      </w:r>
    </w:p>
    <w:p>
      <w:pPr>
        <w:pStyle w:val="CaptionedFigure"/>
      </w:pPr>
      <w:r>
        <w:drawing>
          <wp:inline>
            <wp:extent cx="5334000" cy="1777006"/>
            <wp:effectExtent b="0" l="0" r="0" t="0"/>
            <wp:docPr descr="collapse_plot" title="" id="30" name="Picture"/>
            <a:graphic>
              <a:graphicData uri="http://schemas.openxmlformats.org/drawingml/2006/picture">
                <pic:pic>
                  <pic:nvPicPr>
                    <pic:cNvPr descr="_img/fig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collapse_plot</w:t>
      </w:r>
    </w:p>
    <w:p>
      <w:pPr>
        <w:pStyle w:val="BodyText"/>
      </w:pPr>
      <w:r>
        <w:rPr>
          <w:iCs/>
          <w:i/>
        </w:rPr>
        <w:t xml:space="preserve">Figure 3. Does replacing cross-entropy loss with our embedding-loss result still improve the cross-entropy loss? A little, but not much; and our embedding loss collapses to 0, giving little signal after the first few steps!</w:t>
      </w:r>
    </w:p>
    <w:p>
      <w:pPr>
        <w:pStyle w:val="BodyText"/>
      </w:pPr>
      <w:r>
        <w:t xml:space="preserve">Since the embedding loss collapses, we try to find a way to preserve its signal.</w:t>
      </w:r>
    </w:p>
    <w:bookmarkEnd w:id="32"/>
    <w:bookmarkStart w:id="36" w:name="next-experiment-1"/>
    <w:p>
      <w:pPr>
        <w:pStyle w:val="Heading3"/>
      </w:pPr>
      <w:r>
        <w:t xml:space="preserve">Next Experiment</w:t>
      </w:r>
    </w:p>
    <w:p>
      <w:pPr>
        <w:pStyle w:val="FirstParagraph"/>
      </w:pPr>
      <w:r>
        <w:t xml:space="preserve">Now, we add</w:t>
      </w:r>
      <w:r>
        <w:t xml:space="preserve"> </w:t>
      </w:r>
      <w:r>
        <w:rPr>
          <w:bCs/>
          <w:b/>
        </w:rPr>
        <w:t xml:space="preserve">another loss term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</m:oMath>
      <w:r>
        <w:t xml:space="preserve">; to avoid collapse of the embedding-space, we pressure the model to keep its embeddings uniformly distributed.</w:t>
      </w:r>
    </w:p>
    <w:p>
      <w:pPr>
        <w:pStyle w:val="BodyText"/>
      </w:pPr>
      <w:r>
        <w:t xml:space="preserve">Formally, adapted from Wang &amp; Isola (2020):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nor/>
              <m:sty m:val="p"/>
            </m:rPr>
            <m:t>uniform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∑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exp</m:t>
          </m:r>
          <m:r>
            <m:rPr>
              <m:sty m:val="p"/>
            </m:rPr>
            <m:t>!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e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e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And it helps! We don’t get immediate collapse of the embedding space! The embedding-loss signal is preserved, and as a result, we see that</w:t>
      </w:r>
      <w:r>
        <w:t xml:space="preserve"> </w:t>
      </w:r>
      <w:r>
        <w:rPr>
          <w:bCs/>
          <w:b/>
        </w:rPr>
        <w:t xml:space="preserve">without a CE loss</w:t>
      </w:r>
      <w:r>
        <w:t xml:space="preserve"> </w:t>
      </w:r>
      <w:r>
        <w:t xml:space="preserve">we are still able to</w:t>
      </w:r>
      <w:r>
        <w:t xml:space="preserve"> </w:t>
      </w:r>
      <w:r>
        <w:rPr>
          <w:bCs/>
          <w:b/>
        </w:rPr>
        <w:t xml:space="preserve">decrease the CE loss</w:t>
      </w:r>
      <w:r>
        <w:t xml:space="preserve">. Essentially, we’ve found a (weak) surrogate for the CE loss, at least in early training. However, it’s only a</w:t>
      </w:r>
      <w:r>
        <w:t xml:space="preserve"> </w:t>
      </w:r>
      <w:r>
        <w:rPr>
          <w:iCs/>
          <w:i/>
        </w:rPr>
        <w:t xml:space="preserve">weak</w:t>
      </w:r>
      <w:r>
        <w:t xml:space="preserve"> </w:t>
      </w:r>
      <w:r>
        <w:t xml:space="preserve">surrogate for CE loss, and as we can see below, directly training with CE loss still yields quicker convergence.</w:t>
      </w:r>
    </w:p>
    <w:p>
      <w:pPr>
        <w:pStyle w:val="CaptionedFigure"/>
      </w:pPr>
      <w:r>
        <w:drawing>
          <wp:inline>
            <wp:extent cx="5334000" cy="1209229"/>
            <wp:effectExtent b="0" l="0" r="0" t="0"/>
            <wp:docPr descr="eu_sweep_plot_goo" title="" id="34" name="Picture"/>
            <a:graphic>
              <a:graphicData uri="http://schemas.openxmlformats.org/drawingml/2006/picture">
                <pic:pic>
                  <pic:nvPicPr>
                    <pic:cNvPr descr="_img/fig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eu_sweep_plot_goo</w:t>
      </w:r>
    </w:p>
    <w:p>
      <w:pPr>
        <w:pStyle w:val="BodyText"/>
      </w:pPr>
      <w:r>
        <w:rPr>
          <w:iCs/>
          <w:i/>
        </w:rPr>
        <w:t xml:space="preserve">Figure 4. We’re able to significantly lower CE loss without using CE loss in our objective; instead our loss encourages predicted tokens to be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close to ground truth tokens in embedding space</w:t>
      </w:r>
      <w:r>
        <w:rPr>
          <w:iCs/>
          <w:i/>
        </w:rPr>
        <w:t xml:space="preserve">, and we pressure the embedding space to be uniformly distributed 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avoid collapse</w:t>
      </w:r>
      <w:r>
        <w:rPr>
          <w:iCs/>
          <w:i/>
        </w:rPr>
        <w:t xml:space="preserve">.</w:t>
      </w:r>
    </w:p>
    <w:p>
      <w:pPr>
        <w:pStyle w:val="BodyText"/>
      </w:pPr>
      <w:r>
        <w:t xml:space="preserve">Now, is it possible to mix CE loss back in to get a better result, maybe a better loss geometry?</w:t>
      </w:r>
    </w:p>
    <w:bookmarkEnd w:id="36"/>
    <w:bookmarkStart w:id="43" w:name="next-experiment-2"/>
    <w:p>
      <w:pPr>
        <w:pStyle w:val="Heading3"/>
      </w:pPr>
      <w:r>
        <w:t xml:space="preserve">Next Experiment</w:t>
      </w:r>
    </w:p>
    <w:p>
      <w:pPr>
        <w:pStyle w:val="FirstParagraph"/>
      </w:pPr>
      <w:r>
        <w:t xml:space="preserve">Adding cross entropy loss back in, and running on 8 H100-SXM GPUs now, we see that our new loss achieves slightly better performance per steps, but is about 2x slower. Note that we are not using tied embeddings.</w:t>
      </w:r>
    </w:p>
    <w:p>
      <w:pPr>
        <w:pStyle w:val="CaptionedFigure"/>
      </w:pPr>
      <w:r>
        <w:drawing>
          <wp:inline>
            <wp:extent cx="5334000" cy="2049941"/>
            <wp:effectExtent b="0" l="0" r="0" t="0"/>
            <wp:docPr descr="8gpu_comparison" title="" id="38" name="Picture"/>
            <a:graphic>
              <a:graphicData uri="http://schemas.openxmlformats.org/drawingml/2006/picture">
                <pic:pic>
                  <pic:nvPicPr>
                    <pic:cNvPr descr="_img/fig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8gpu_comparison</w:t>
      </w:r>
    </w:p>
    <w:p>
      <w:pPr>
        <w:pStyle w:val="BodyText"/>
      </w:pPr>
      <w:r>
        <w:rPr>
          <w:iCs/>
          <w:i/>
        </w:rPr>
        <w:t xml:space="preserve">Figure 5. Our loss gives slightly better performance, compared to the baseline, comparing the same number of steps. However, it’s 2x slower and performs worse after 10 minutes.</w:t>
      </w:r>
    </w:p>
    <w:p>
      <w:pPr>
        <w:pStyle w:val="BodyText"/>
      </w:pPr>
      <w:r>
        <w:t xml:space="preserve">However, the performance of the two models is very close, and it’s difficult to say if these results are significant. To improve our confidence, we do three runs of each on 1 H100-SFX GPU.</w:t>
      </w:r>
    </w:p>
    <w:p>
      <w:pPr>
        <w:pStyle w:val="CaptionedFigure"/>
      </w:pPr>
      <w:r>
        <w:drawing>
          <wp:inline>
            <wp:extent cx="5334000" cy="1773721"/>
            <wp:effectExtent b="0" l="0" r="0" t="0"/>
            <wp:docPr descr="1gpu_sweep_plot" title="" id="41" name="Picture"/>
            <a:graphic>
              <a:graphicData uri="http://schemas.openxmlformats.org/drawingml/2006/picture">
                <pic:pic>
                  <pic:nvPicPr>
                    <pic:cNvPr descr="_img/fig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3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1gpu_sweep_plot</w:t>
      </w:r>
    </w:p>
    <w:p>
      <w:pPr>
        <w:pStyle w:val="BodyText"/>
      </w:pPr>
      <w:r>
        <w:rPr>
          <w:iCs/>
          <w:i/>
        </w:rPr>
        <w:t xml:space="preserve">Figure 6. Despite avoiding collapse of the embedding-signal, the embedding-based loss term does not seem to improve training performance.</w:t>
      </w:r>
    </w:p>
    <w:p>
      <w:pPr>
        <w:pStyle w:val="BodyText"/>
      </w:pPr>
      <w:r>
        <w:t xml:space="preserve">Indeed, it seems our results were not significant!</w:t>
      </w:r>
    </w:p>
    <w:bookmarkEnd w:id="43"/>
    <w:bookmarkEnd w:id="44"/>
    <w:bookmarkStart w:id="45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We weren’t able to beat the baseline by changing the loss. However, we were able to preserve the signal of our embedding-loss by biasing tokens to be uniformly distributed throughout the embedding space. And, we were able to demonstrate that a pure embedding-based loss correlates well with cross-entropy loss for next-token prediction.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2026-05-08T22:44:14Z</dcterms:created>
  <dcterms:modified xsi:type="dcterms:W3CDTF">2026-05-08T22:44:14Z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