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its recognition in China has been steadily increasing. CNAS-CL02:2023, the corresponding implementation document issued by the China National Accreditation Service for Conformity Assessment, was released in parallel. Such standards prescribe what laboratories *should do* but not *how to do it*, requiring each laboratory to construct, on its own, a complete documentation system covering the quality manual, procedure documents, and standard operating instructions. In a typical tertiary-level hospital clinical laboratory, such a system contains 100 to 300 controlled documents and constitutes a systems-engineering effort spanning structural organization, clause mapping, form numbering, and responsibility assignment; manual drafting by the quality team typically takes several months, after which several rounds of internal audit are required before the system can be finalized. Laboratories pursuing CNAS accreditation generally require technical experts and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