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H2_keep_examples (61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xml:space="preserve">: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 </w:t>
      </w:r>
      <w:r>
        <w:rPr>
          <w:rFonts w:ascii="Times New Roman" w:hAnsi="Times New Roman" w:eastAsia="宋体"/>
          <w:b/>
          <w:sz w:val="22"/>
        </w:rPr>
        <w:t>Conflict-of-interest declaration for raters.</w:t>
      </w:r>
      <w:r>
        <w:rPr>
          <w:rFonts w:ascii="Times New Roman" w:hAnsi="Times New Roman" w:eastAsia="宋体"/>
          <w:b w:val="0"/>
          <w:sz w:val="22"/>
        </w:rPr>
        <w:t xml:space="preserve"> None of the three raters has any commercial, research, or consulting relationship with Anthropic, OpenAI, or any other LLM provider, and none received funding or in-kind support from these entities for this study. </w:t>
      </w: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and the ISO/CNAS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xml:space="preserve">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three complementary measures: Pearson correlation captures linear association while tolerating systematic shift between raters; Spearman correlation assesses rank-order agreement without assuming linearity; and intraclass correlation coefficients quantify reliability under the standard framework. We report all three to give a complete picture of inter-rater patterns. Four ICC variants defined by Shrout and Fleiss [13] are used: </w:t>
      </w:r>
      <w:r>
        <w:rPr>
          <w:rFonts w:ascii="Times New Roman" w:hAnsi="Times New Roman" w:eastAsia="宋体"/>
          <w:b/>
          <w:sz w:val="22"/>
        </w:rPr>
        <w:t>ICC(2,1)</w:t>
      </w:r>
      <w:r>
        <w:rPr>
          <w:rFonts w:ascii="Times New Roman" w:hAnsi="Times New Roman" w:eastAsia="宋体"/>
          <w:b w:val="0"/>
          <w:sz w:val="22"/>
        </w:rPr>
        <w:t xml:space="preserve"> (single-rater absolute agreement, two-way random effects) and </w:t>
      </w:r>
      <w:r>
        <w:rPr>
          <w:rFonts w:ascii="Times New Roman" w:hAnsi="Times New Roman" w:eastAsia="宋体"/>
          <w:b/>
          <w:sz w:val="22"/>
        </w:rPr>
        <w:t>ICC(3,1)</w:t>
      </w:r>
      <w:r>
        <w:rPr>
          <w:rFonts w:ascii="Times New Roman" w:hAnsi="Times New Roman" w:eastAsia="宋体"/>
          <w:b w:val="0"/>
          <w:sz w:val="22"/>
        </w:rPr>
        <w:t xml:space="preserve"> (single-rater consistency, two-way mixed effects) for pairwise comparisons (e.g., expert mean vs LLM judge, and rater-pair comparisons within the expert panel); and </w:t>
      </w:r>
      <w:r>
        <w:rPr>
          <w:rFonts w:ascii="Times New Roman" w:hAnsi="Times New Roman" w:eastAsia="宋体"/>
          <w:b/>
          <w:sz w:val="22"/>
        </w:rPr>
        <w:t>ICC(2,k)</w:t>
      </w:r>
      <w:r>
        <w:rPr>
          <w:rFonts w:ascii="Times New Roman" w:hAnsi="Times New Roman" w:eastAsia="宋体"/>
          <w:b w:val="0"/>
          <w:sz w:val="22"/>
        </w:rPr>
        <w:t xml:space="preserve"> and </w:t>
      </w:r>
      <w:r>
        <w:rPr>
          <w:rFonts w:ascii="Times New Roman" w:hAnsi="Times New Roman" w:eastAsia="宋体"/>
          <w:b/>
          <w:sz w:val="22"/>
        </w:rPr>
        <w:t>ICC(3,k)</w:t>
      </w:r>
      <w:r>
        <w:rPr>
          <w:rFonts w:ascii="Times New Roman" w:hAnsi="Times New Roman" w:eastAsia="宋体"/>
          <w:b w:val="0"/>
          <w:sz w:val="22"/>
        </w:rPr>
        <w:t xml:space="preserve"> — the corresponding *averaged k-rater* reliability variants with k = 3 — for the overall reliability of the three-rater expert panel.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6506"/>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6506"/>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