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Acknowledgement of AI Tool Use — 中英双版</w:t>
      </w:r>
    </w:p>
    <w:p>
      <w:pPr>
        <w:spacing w:before="80" w:after="80" w:lineRule="auto" w:line="360"/>
        <w:ind w:firstLine="0"/>
        <w:jc w:val="both"/>
      </w:pPr>
      <w:r>
        <w:rPr>
          <w:rFonts w:ascii="Times New Roman" w:hAnsi="Times New Roman" w:eastAsia="宋体"/>
          <w:b w:val="0"/>
          <w:sz w:val="22"/>
        </w:rPr>
        <w:t>&gt; 为 CCLM（De Gruyter Brill）投稿准备。符合其 AI Policy for Authors 条款。</w:t>
      </w:r>
    </w:p>
    <w:p>
      <w:pPr>
        <w:spacing w:before="80" w:after="80" w:lineRule="auto" w:line="360"/>
        <w:ind w:firstLine="0"/>
        <w:jc w:val="both"/>
      </w:pPr>
      <w:r>
        <w:rPr>
          <w:rFonts w:ascii="Times New Roman" w:hAnsi="Times New Roman" w:eastAsia="宋体"/>
          <w:b w:val="0"/>
          <w:sz w:val="22"/>
        </w:rPr>
        <w:t>&gt; 中文版可放入中文版本的论文致谢章节；英文版用于最终英文投稿的 Acknowledgements 节。</w:t>
      </w:r>
    </w:p>
    <w:p>
      <w:pPr>
        <w:spacing w:before="280" w:after="120" w:lineRule="auto" w:line="300"/>
        <w:jc w:val="left"/>
      </w:pPr>
      <w:r>
        <w:rPr>
          <w:rFonts w:ascii="Arial" w:hAnsi="Arial" w:eastAsia="黑体"/>
          <w:b/>
          <w:sz w:val="28"/>
        </w:rPr>
        <w:t>英文版（投稿使用）</w:t>
      </w:r>
    </w:p>
    <w:p>
      <w:pPr>
        <w:spacing w:before="200" w:after="80" w:lineRule="auto" w:line="300"/>
        <w:jc w:val="left"/>
      </w:pPr>
      <w:r>
        <w:rPr>
          <w:rFonts w:ascii="Arial" w:hAnsi="Arial" w:eastAsia="黑体"/>
          <w:b/>
          <w:sz w:val="24"/>
        </w:rPr>
        <w:t>Acknowledgement of AI tool use</w:t>
      </w:r>
    </w:p>
    <w:p>
      <w:pPr>
        <w:spacing w:before="80" w:after="80" w:lineRule="auto" w:line="360"/>
        <w:ind w:firstLine="0"/>
        <w:jc w:val="both"/>
      </w:pPr>
      <w:r>
        <w:rPr>
          <w:rFonts w:ascii="Times New Roman" w:hAnsi="Times New Roman" w:eastAsia="宋体"/>
          <w:b w:val="0"/>
          <w:sz w:val="22"/>
        </w:rPr>
        <w:t>In accordance with the AI Policy for Authors of De Gruyter Brill, the author discloses the following use of generative artificial-intelligence (AI) tools in this work.</w:t>
      </w:r>
    </w:p>
    <w:p>
      <w:pPr>
        <w:spacing w:before="80" w:after="80" w:lineRule="auto" w:line="360"/>
        <w:ind w:firstLine="0"/>
        <w:jc w:val="both"/>
      </w:pPr>
      <w:r>
        <w:rPr>
          <w:rFonts w:ascii="Times New Roman" w:hAnsi="Times New Roman" w:eastAsia="宋体"/>
          <w:b/>
          <w:sz w:val="22"/>
        </w:rPr>
        <w:t>1. AI as research objects.</w:t>
      </w:r>
      <w:r>
        <w:rPr>
          <w:rFonts w:ascii="Times New Roman" w:hAnsi="Times New Roman" w:eastAsia="宋体"/>
          <w:b w:val="0"/>
          <w:sz w:val="22"/>
        </w:rPr>
        <w:t xml:space="preserve"> Claude Opus 4.6 (Anthropic, San Francisco, USA) and GPT-5.4 (OpenAI, San Francisco, USA, accessed via the AIHubMix API proxy) were used to generate the 486 ISO 15189:2022 quality-management-system (QMS) documents that constitute the primary dataset of this study. These documents are the experimental object under investigation; they are neither fabricated clinical data nor intended to be used in real patient care.</w:t>
      </w:r>
    </w:p>
    <w:p>
      <w:pPr>
        <w:spacing w:before="80" w:after="80" w:lineRule="auto" w:line="360"/>
        <w:ind w:firstLine="0"/>
        <w:jc w:val="both"/>
      </w:pPr>
      <w:r>
        <w:rPr>
          <w:rFonts w:ascii="Times New Roman" w:hAnsi="Times New Roman" w:eastAsia="宋体"/>
          <w:b/>
          <w:sz w:val="22"/>
        </w:rPr>
        <w:t>2. AI as evaluators.</w:t>
      </w:r>
      <w:r>
        <w:rPr>
          <w:rFonts w:ascii="Times New Roman" w:hAnsi="Times New Roman" w:eastAsia="宋体"/>
          <w:b w:val="0"/>
          <w:sz w:val="22"/>
        </w:rPr>
        <w:t xml:space="preserve"> Claude Opus 4.6 and GPT-5.4 were additionally used as LLM judges to produce 864 document evaluations under a CNAS-style reviewer prompt, as described in Section 2.3. Per-paper raw scores are provided for 756 of the 864 ratings (the six core configuration groups A/B/C/E/F/G under both judges and the full GPT-judge corpus); the remaining 108 cross-judge cells are archived as aggregated means and documented in Section 4.5 (limitation x). Full prompts, model parameters, and per-paper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sz w:val="22"/>
        </w:rPr>
        <w:t>3. AI-assisted manuscript drafting.</w:t>
      </w:r>
      <w:r>
        <w:rPr>
          <w:rFonts w:ascii="Times New Roman" w:hAnsi="Times New Roman" w:eastAsia="宋体"/>
          <w:b w:val="0"/>
          <w:sz w:val="22"/>
        </w:rPr>
        <w:t xml:space="preserve"> The author used Claude Code (Claude Opus 4.6, Anthropic) to assist with manuscript outlining, first-draft composition, table preparation, and data-visualisation code generation. All AI-suggested content, wording, and analytical code were critically reviewed, revised, and verified by the human author. The author takes sole responsibility for the final manuscript, including all claims, interpretations, and conclusions.</w:t>
      </w:r>
    </w:p>
    <w:p>
      <w:pPr>
        <w:spacing w:before="80" w:after="80" w:lineRule="auto" w:line="360"/>
        <w:ind w:firstLine="0"/>
        <w:jc w:val="both"/>
      </w:pPr>
      <w:r>
        <w:rPr>
          <w:rFonts w:ascii="Times New Roman" w:hAnsi="Times New Roman" w:eastAsia="宋体"/>
          <w:b/>
          <w:sz w:val="22"/>
        </w:rPr>
        <w:t>4. No AI-generated images or manipulated data.</w:t>
      </w:r>
      <w:r>
        <w:rPr>
          <w:rFonts w:ascii="Times New Roman" w:hAnsi="Times New Roman" w:eastAsia="宋体"/>
          <w:b w:val="0"/>
          <w:sz w:val="22"/>
        </w:rPr>
        <w:t xml:space="preserve"> All figures (Figures 1–4) were produced using matplotlib 3.7.1 (Python 3.11) from raw numerical data stored as JSON files. No generative AI tools were used to create, alter, or manipulate images, figures, or numerical data. Inter-rater reliability statistics [ICC(2,1) and ICC(3,1)] were calculated using pingouin 0.5. Per-paper raw data and aggregated analysis outputs are openly available in the repository above (see disclosure point 2 for the scope of per-paper retention).</w:t>
      </w:r>
    </w:p>
    <w:p>
      <w:pPr>
        <w:spacing w:before="80" w:after="80" w:lineRule="auto" w:line="360"/>
        <w:ind w:firstLine="0"/>
        <w:jc w:val="both"/>
      </w:pPr>
      <w:r>
        <w:rPr>
          <w:rFonts w:ascii="Times New Roman" w:hAnsi="Times New Roman" w:eastAsia="宋体"/>
          <w:b/>
          <w:sz w:val="22"/>
        </w:rPr>
        <w:t>5. Chain of accountability.</w:t>
      </w:r>
      <w:r>
        <w:rPr>
          <w:rFonts w:ascii="Times New Roman" w:hAnsi="Times New Roman" w:eastAsia="宋体"/>
          <w:b w:val="0"/>
          <w:sz w:val="22"/>
        </w:rPr>
        <w:t xml:space="preserve"> The author confirms compliance with De Gruyter Brill's AI Policy for Authors and accepts full responsibility for all content of this submission, in accordance with the ICMJE authorship criteria.</w:t>
      </w:r>
    </w:p>
    <w:p>
      <w:pPr>
        <w:spacing w:before="280" w:after="120" w:lineRule="auto" w:line="300"/>
        <w:jc w:val="left"/>
      </w:pPr>
      <w:r>
        <w:rPr>
          <w:rFonts w:ascii="Arial" w:hAnsi="Arial" w:eastAsia="黑体"/>
          <w:b/>
          <w:sz w:val="28"/>
        </w:rPr>
        <w:t>中文版（中文稿致谢段落使用）</w:t>
      </w:r>
    </w:p>
    <w:p>
      <w:pPr>
        <w:spacing w:before="200" w:after="80" w:lineRule="auto" w:line="300"/>
        <w:jc w:val="left"/>
      </w:pPr>
      <w:r>
        <w:rPr>
          <w:rFonts w:ascii="Arial" w:hAnsi="Arial" w:eastAsia="黑体"/>
          <w:b/>
          <w:sz w:val="24"/>
        </w:rPr>
        <w:t>AI 工具使用披露</w:t>
      </w:r>
    </w:p>
    <w:p>
      <w:pPr>
        <w:spacing w:before="80" w:after="80" w:lineRule="auto" w:line="360"/>
        <w:ind w:firstLine="0"/>
        <w:jc w:val="both"/>
      </w:pPr>
      <w:r>
        <w:rPr>
          <w:rFonts w:ascii="Times New Roman" w:hAnsi="Times New Roman" w:eastAsia="宋体"/>
          <w:b w:val="0"/>
          <w:sz w:val="22"/>
        </w:rPr>
        <w:t>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sz w:val="22"/>
        </w:rPr>
        <w:t>1. AI 作为研究对象</w:t>
      </w:r>
      <w:r>
        <w:rPr>
          <w:rFonts w:ascii="Times New Roman" w:hAnsi="Times New Roman" w:eastAsia="宋体"/>
          <w:b w:val="0"/>
          <w:sz w:val="22"/>
        </w:rPr>
        <w:t>。本研究使用 Claude Opus 4.6（Anthropic 公司）与 GPT-5.4（OpenAI 公司，经 AIHubMix 代理接入）生成共 486 份 ISO 15189:2022 质量管理体系（QMS）文件，作为研究的主要数据集。这些文件是研究考察的实验对象，既非伪造的临床数据，亦未用于真实临床实践。</w:t>
      </w:r>
    </w:p>
    <w:p>
      <w:pPr>
        <w:spacing w:before="80" w:after="80" w:lineRule="auto" w:line="360"/>
        <w:ind w:firstLine="0"/>
        <w:jc w:val="both"/>
      </w:pPr>
      <w:r>
        <w:rPr>
          <w:rFonts w:ascii="Times New Roman" w:hAnsi="Times New Roman" w:eastAsia="宋体"/>
          <w:b/>
          <w:sz w:val="22"/>
        </w:rPr>
        <w:t>2. AI 作为评审员</w:t>
      </w:r>
      <w:r>
        <w:rPr>
          <w:rFonts w:ascii="Times New Roman" w:hAnsi="Times New Roman" w:eastAsia="宋体"/>
          <w:b w:val="0"/>
          <w:sz w:val="22"/>
        </w:rPr>
        <w:t>。Claude Opus 4.6 与 GPT-5.4 在本研究中另作为 LLM 评审员，按照 CNAS 评审员视角的 prompt 对文件打分，共完成 864 次评分。其中 756 条评分（6 个核心配置组 A/B/C/E/F/G 在两位评审员下及 GPT 评审员对全部 486 份文件的评分）保留逐篇 raw 评分数据；其余 108 条跨评象限评分仅以聚合均值形式归档，详见第 4.5 节局限性 x。完整 prompt、模型参数与可公开的逐篇评分数据已公开于研究仓库（https://github.com/stttttte/iso15189-llm-config-experiment）。</w:t>
      </w:r>
    </w:p>
    <w:p>
      <w:pPr>
        <w:spacing w:before="80" w:after="80" w:lineRule="auto" w:line="360"/>
        <w:ind w:firstLine="0"/>
        <w:jc w:val="both"/>
      </w:pPr>
      <w:r>
        <w:rPr>
          <w:rFonts w:ascii="Times New Roman" w:hAnsi="Times New Roman" w:eastAsia="宋体"/>
          <w:b/>
          <w:sz w:val="22"/>
        </w:rPr>
        <w:t>3. AI 辅助稿件起草</w:t>
      </w:r>
      <w:r>
        <w:rPr>
          <w:rFonts w:ascii="Times New Roman" w:hAnsi="Times New Roman" w:eastAsia="宋体"/>
          <w:b w:val="0"/>
          <w:sz w:val="22"/>
        </w:rPr>
        <w:t>。作者使用 Claude Code（基于 Claude Opus 4.6）协助稿件的大纲撰写、初稿起草、表格整理与数据可视化代码生成。所有 AI 建议的内容、措辞与分析代码均经作者批判性审阅、修改与验证。作者对本稿件最终文本中的所有陈述、解释与结论承担全部责任。</w:t>
      </w:r>
    </w:p>
    <w:p>
      <w:pPr>
        <w:spacing w:before="80" w:after="80" w:lineRule="auto" w:line="360"/>
        <w:ind w:firstLine="0"/>
        <w:jc w:val="both"/>
      </w:pPr>
      <w:r>
        <w:rPr>
          <w:rFonts w:ascii="Times New Roman" w:hAnsi="Times New Roman" w:eastAsia="宋体"/>
          <w:b/>
          <w:sz w:val="22"/>
        </w:rPr>
        <w:t>4. 无 AI 生成图像或被操纵数据</w:t>
      </w:r>
      <w:r>
        <w:rPr>
          <w:rFonts w:ascii="Times New Roman" w:hAnsi="Times New Roman" w:eastAsia="宋体"/>
          <w:b w:val="0"/>
          <w:sz w:val="22"/>
        </w:rPr>
        <w:t>。全部 4 张图（Figure 1–4）采用 matplotlib 3.7.1（Python 3.11）从 JSON 格式的原始数值数据绘制。本研究未使用任何生成式 AI 工具创建、修改或操纵图像或数值数据。评分者间一致性统计量 [ICC(2,1) 与 ICC(3,1)] 由 pingouin 0.5 计算。逐篇 raw 数据与聚合分析输出已在上述仓库公开（逐篇保留范围详见披露第 2 条）。</w:t>
      </w:r>
    </w:p>
    <w:p>
      <w:pPr>
        <w:spacing w:before="80" w:after="80" w:lineRule="auto" w:line="360"/>
        <w:ind w:firstLine="0"/>
        <w:jc w:val="both"/>
      </w:pPr>
      <w:r>
        <w:rPr>
          <w:rFonts w:ascii="Times New Roman" w:hAnsi="Times New Roman" w:eastAsia="宋体"/>
          <w:b/>
          <w:sz w:val="22"/>
        </w:rPr>
        <w:t>5. 责任声明</w:t>
      </w:r>
      <w:r>
        <w:rPr>
          <w:rFonts w:ascii="Times New Roman" w:hAnsi="Times New Roman" w:eastAsia="宋体"/>
          <w:b w:val="0"/>
          <w:sz w:val="22"/>
        </w:rPr>
        <w:t>。作者确认本研究符合 De Gruyter Brill 出版社《AI Policy for Authors》的各项条款，并依照 ICMJE 作者身份标准对本稿件全部内容承担全部责任。</w:t>
      </w:r>
    </w:p>
    <w:p>
      <w:pPr>
        <w:spacing w:before="280" w:after="120" w:lineRule="auto" w:line="300"/>
        <w:jc w:val="left"/>
      </w:pPr>
      <w:r>
        <w:rPr>
          <w:rFonts w:ascii="Arial" w:hAnsi="Arial" w:eastAsia="黑体"/>
          <w:b/>
          <w:sz w:val="28"/>
        </w:rPr>
        <w:t>使用方式</w:t>
      </w:r>
    </w:p>
    <w:p>
      <w:pPr>
        <w:pStyle w:val="ListBullet"/>
        <w:spacing w:before="40" w:after="40" w:lineRule="auto" w:line="360"/>
      </w:pPr>
      <w:r>
        <w:rPr>
          <w:rFonts w:ascii="Times New Roman" w:hAnsi="Times New Roman" w:eastAsia="宋体"/>
          <w:b w:val="0"/>
          <w:sz w:val="22"/>
        </w:rPr>
        <w:t>中文稿致谢节：把上面"中文版"整段粘入《论文正文v2_中文_CCLM.md》的"申报声明"之后、"致谢"之前</w:t>
      </w:r>
    </w:p>
    <w:p>
      <w:pPr>
        <w:pStyle w:val="ListBullet"/>
        <w:spacing w:before="40" w:after="40" w:lineRule="auto" w:line="360"/>
      </w:pPr>
      <w:r>
        <w:rPr>
          <w:rFonts w:ascii="Times New Roman" w:hAnsi="Times New Roman" w:eastAsia="宋体"/>
          <w:b w:val="0"/>
          <w:sz w:val="22"/>
        </w:rPr>
        <w:t>最终英文投稿：把"英文版"整段粘入 Acknowledgements 或 Competing interests 附近，CCLM 投稿系统一般有 "Declarations" 专区</w:t>
      </w:r>
    </w:p>
    <w:p>
      <w:pPr>
        <w:pStyle w:val="ListBullet"/>
        <w:spacing w:before="40" w:after="40" w:lineRule="auto" w:line="360"/>
      </w:pPr>
      <w:r>
        <w:rPr>
          <w:rFonts w:ascii="Times New Roman" w:hAnsi="Times New Roman" w:eastAsia="宋体"/>
          <w:b w:val="0"/>
          <w:sz w:val="22"/>
        </w:rPr>
        <w:t>Cover letter 里</w:t>
      </w:r>
      <w:r>
        <w:rPr>
          <w:rFonts w:ascii="Times New Roman" w:hAnsi="Times New Roman" w:eastAsia="宋体"/>
          <w:b/>
          <w:sz w:val="22"/>
        </w:rPr>
        <w:t>简短呼应</w:t>
      </w:r>
      <w:r>
        <w:rPr>
          <w:rFonts w:ascii="Times New Roman" w:hAnsi="Times New Roman" w:eastAsia="宋体"/>
          <w:b w:val="0"/>
          <w:sz w:val="22"/>
        </w:rPr>
        <w:t>（见 cover_letter_CCLM.md）</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