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+0.464, whereas GPT-as-judge showed an inverse bias of −0.472.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rated all 486 documents along five indicators—format, clauses, terminology, violations, and vagueness.</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acting as a CNAS chief assessor, scored each document on five dimensions (clause coverage, operability, internal consistency, PDCA closure, and professional depth) on a 0–5 scale; 378 documents were rated.</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acted as a judge using the same prompt and covered all 486 documents.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rating rubric as the LLM judges.</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−1.27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