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四因子正交消融显示，规则层（Δ=+0.511，p&lt;0.001）与骨架层（Δ=+0.213，p=0.055）在 LLM 评估层显著有效；详细内容（Δ=−0.031，p=0.79）与示例（Δ=−0.053，p=0.46）无贡献或轻微有害。(2) 全量配置 C_full（71 K）在 Claude 生成下的跨评分为 3.22–4.56，在 GPT-5.4 生成下降至 1.40–1.84，提示 Claude Opus 的长上下文能力在此场景中具有模型特异性。(3) Claude 评审存在 +0.464 的自评偏差，GPT 评审呈 −0.472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88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fig_compo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自动合规评分器对全部 486 份文件评分，输出格式、条款、术语、违规和模糊 5 项指标。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：Claude Opus 4.6 作为评审员，以 CNAS 主任评审员视角按 5 个维度（条款满足度、可操作性、内部一致性、PDCA 闭环、专业深度）进行 0–5 分评分，共评 378 份。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>：GPT-5.4 评审员使用相同 prompt 覆盖全部 486 份文件。层 2a 与 2b 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份。随机打乱 paper_01 至 paper_10 编号并去除组名标识。三位专家独立评分，不互相查看评分或讨论；Rater 2 与 Rater 3 在不知晓 Rater 1 评分的前提下完成评分后方与之汇总。评分前获得 Rater 2 与 Rater 3 的书面知情同意。专家使用与 LLM 评审员完全相同的 5 维度评分量规。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组间比较采用 Kruskal-Wallis 检验与 Mann-Whitney U 检验，多重比较采用 Bonferroni 校正。四因子效应量采用双因子方差分析。评分者间一致性采用 Pearson 相关系数、Spearman 相关系数以及 Shrout 与 Fleiss [13] 定义的 ICC(2,1)（绝对一致）与 ICC(3,1)（排序一致）评价。ICC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规则层主效应为 +0.511（p&lt;0.001），骨架层主效应为 +0.213（p=0.055），在 LLM 层均有显著或接近显著的正向贡献。详细内容无贡献（G vs H3：Δ=−0.031，p=0.79），示例呈方向性有害（H2 vs G：Δ=−0.053，p=0.46）。H4 与 H3 差异不显著（Δ=−0.009，p=0.80），提示任务特定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971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x2_symmetr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05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xpert_vs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分别为 −1.27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665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oken_vs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66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评审层的四因子消融得出一个简洁结论：规则与骨架必需，详细内容与示例无贡献甚至有害。此结论与 lost-in-the-middle 理论 [3] 及 prompt 精简化实践 [12] 一致。然而专家层分析推翻了这一简化：详细内容（F 与 G 的完整模板）显著提升临床可用性（F 4.24 vs H3 3.28，差距达 0.96），原因在于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