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lineRule="auto" w:line="360"/>
        <w:ind w:firstLine="0"/>
        <w:jc w:val="both"/>
      </w:pPr>
      <w:r>
        <w:rPr>
          <w:rFonts w:ascii="Times New Roman" w:hAnsi="Times New Roman" w:eastAsia="宋体"/>
          <w:b w:val="0"/>
          <w:i w:val="0"/>
          <w:sz w:val="24"/>
        </w:rPr>
        <w:t>5 August 2026</w:t>
      </w:r>
    </w:p>
    <w:p>
      <w:pPr>
        <w:spacing w:before="80" w:after="80" w:lineRule="auto" w:line="360"/>
        <w:ind w:firstLine="0"/>
        <w:jc w:val="both"/>
      </w:pPr>
      <w:r>
        <w:rPr>
          <w:rFonts w:ascii="Times New Roman" w:hAnsi="Times New Roman" w:eastAsia="宋体"/>
          <w:b w:val="0"/>
          <w:i w:val="0"/>
          <w:sz w:val="24"/>
        </w:rPr>
        <w:t>Dear Professor Benis and the Editorial Team,</w:t>
      </w:r>
    </w:p>
    <w:p>
      <w:pPr>
        <w:spacing w:before="80" w:after="80" w:lineRule="auto" w:line="360"/>
        <w:ind w:firstLine="0"/>
        <w:jc w:val="both"/>
      </w:pPr>
      <w:r>
        <w:rPr>
          <w:rFonts w:ascii="Times New Roman" w:hAnsi="Times New Roman" w:eastAsia="宋体"/>
          <w:b w:val="0"/>
          <w:i w:val="0"/>
          <w:sz w:val="24"/>
        </w:rPr>
        <w:t xml:space="preserve">We are pleased to submit our original research manuscript, "Evaluating LLM-Assisted Drafting of ISO 15189 Quality Management Documents: Input Specification, LLM-as-Judge Bias, and Exploratory Expert Validation," for consideration by </w:t>
      </w:r>
      <w:r>
        <w:rPr>
          <w:rFonts w:ascii="Times New Roman" w:hAnsi="Times New Roman" w:eastAsia="宋体"/>
          <w:b w:val="0"/>
          <w:i/>
          <w:sz w:val="24"/>
        </w:rPr>
        <w:t>JMIR Medical Informatics</w:t>
      </w:r>
      <w:r>
        <w:rPr>
          <w:rFonts w:ascii="Times New Roman" w:hAnsi="Times New Roman" w:eastAsia="宋体"/>
          <w:b w:val="0"/>
          <w:i w:val="0"/>
          <w:sz w:val="24"/>
        </w:rPr>
        <w:t>. We believe it fits the journal's AI Language Models in Health Care section.</w:t>
      </w:r>
    </w:p>
    <w:p>
      <w:pPr>
        <w:spacing w:before="80" w:after="80" w:lineRule="auto" w:line="360"/>
        <w:ind w:firstLine="0"/>
        <w:jc w:val="both"/>
      </w:pPr>
      <w:r>
        <w:rPr>
          <w:rFonts w:ascii="Times New Roman" w:hAnsi="Times New Roman" w:eastAsia="宋体"/>
          <w:b w:val="0"/>
          <w:i w:val="0"/>
          <w:sz w:val="24"/>
        </w:rPr>
        <w:t>Medical laboratories seeking ISO 15189 accreditation must produce on the order of 100-300 controlled quality management system (QMS) documents, a task that typically occupies an in-house quality team for months. Large language models (LLMs) could ease this burden, but putting them to use raises two open questions: what input must the model be given, and can another LLM be trusted to score the output? There is little empirical evidence on either; this study explores both.</w:t>
      </w:r>
    </w:p>
    <w:p>
      <w:pPr>
        <w:spacing w:before="80" w:after="80" w:lineRule="auto" w:line="360"/>
        <w:ind w:firstLine="0"/>
        <w:jc w:val="both"/>
      </w:pPr>
      <w:r>
        <w:rPr>
          <w:rFonts w:ascii="Times New Roman" w:hAnsi="Times New Roman" w:eastAsia="宋体"/>
          <w:b w:val="0"/>
          <w:i w:val="0"/>
          <w:sz w:val="24"/>
        </w:rPr>
        <w:t>Across 486 generated documents, 864 LLM-judge ratings, and blinded review by three qualified internal auditors, three findings stand out:</w:t>
      </w:r>
    </w:p>
    <w:p>
      <w:pPr>
        <w:spacing w:before="80" w:after="80" w:lineRule="auto" w:line="360"/>
        <w:ind w:firstLine="0"/>
        <w:jc w:val="both"/>
      </w:pPr>
      <w:r>
        <w:rPr>
          <w:rFonts w:ascii="Times New Roman" w:hAnsi="Times New Roman" w:eastAsia="宋体"/>
          <w:b w:val="0"/>
          <w:i w:val="0"/>
          <w:sz w:val="24"/>
        </w:rPr>
        <w:t xml:space="preserve">1. </w:t>
      </w:r>
      <w:r>
        <w:rPr>
          <w:rFonts w:ascii="Times New Roman" w:hAnsi="Times New Roman" w:eastAsia="宋体"/>
          <w:b/>
          <w:i w:val="0"/>
          <w:sz w:val="24"/>
        </w:rPr>
        <w:t>Input specification, not prompt bulk, determines output quality.</w:t>
      </w:r>
      <w:r>
        <w:rPr>
          <w:rFonts w:ascii="Times New Roman" w:hAnsi="Times New Roman" w:eastAsia="宋体"/>
          <w:b w:val="0"/>
          <w:i w:val="0"/>
          <w:sz w:val="24"/>
        </w:rPr>
        <w:t xml:space="preserve"> Of four prompt components, only distilled requirement rules significantly improved compliance (Δ=0.511); a ~56,000-token full-context prompt collapsed under one generation model, so loading more material is no substitute for stating requirements.</w:t>
      </w:r>
    </w:p>
    <w:p>
      <w:pPr>
        <w:spacing w:before="80" w:after="80" w:lineRule="auto" w:line="360"/>
        <w:ind w:firstLine="0"/>
        <w:jc w:val="both"/>
      </w:pPr>
      <w:r>
        <w:rPr>
          <w:rFonts w:ascii="Times New Roman" w:hAnsi="Times New Roman" w:eastAsia="宋体"/>
          <w:b w:val="0"/>
          <w:i w:val="0"/>
          <w:sz w:val="24"/>
        </w:rPr>
        <w:t xml:space="preserve">2. </w:t>
      </w:r>
      <w:r>
        <w:rPr>
          <w:rFonts w:ascii="Times New Roman" w:hAnsi="Times New Roman" w:eastAsia="宋体"/>
          <w:b/>
          <w:i w:val="0"/>
          <w:sz w:val="24"/>
        </w:rPr>
        <w:t>The "best" configuration depends on who evaluates it.</w:t>
      </w:r>
      <w:r>
        <w:rPr>
          <w:rFonts w:ascii="Times New Roman" w:hAnsi="Times New Roman" w:eastAsia="宋体"/>
          <w:b w:val="0"/>
          <w:i w:val="0"/>
          <w:sz w:val="24"/>
        </w:rPr>
        <w:t xml:space="preserve"> The configuration LLM judges ranked first fell to fifth under blinded expert review, whereas template-anchored prompts earned the highest expert scores.</w:t>
      </w:r>
    </w:p>
    <w:p>
      <w:pPr>
        <w:spacing w:before="80" w:after="80" w:lineRule="auto" w:line="360"/>
        <w:ind w:firstLine="0"/>
        <w:jc w:val="both"/>
      </w:pPr>
      <w:r>
        <w:rPr>
          <w:rFonts w:ascii="Times New Roman" w:hAnsi="Times New Roman" w:eastAsia="宋体"/>
          <w:b w:val="0"/>
          <w:i w:val="0"/>
          <w:sz w:val="24"/>
        </w:rPr>
        <w:t xml:space="preserve">3. </w:t>
      </w:r>
      <w:r>
        <w:rPr>
          <w:rFonts w:ascii="Times New Roman" w:hAnsi="Times New Roman" w:eastAsia="宋体"/>
          <w:b/>
          <w:i w:val="0"/>
          <w:sz w:val="24"/>
        </w:rPr>
        <w:t>LLM-as-judge overestimates expert-rated compliance by 0.52-0.90 points</w:t>
      </w:r>
      <w:r>
        <w:rPr>
          <w:rFonts w:ascii="Times New Roman" w:hAnsi="Times New Roman" w:eastAsia="宋体"/>
          <w:b w:val="0"/>
          <w:i w:val="0"/>
          <w:sz w:val="24"/>
        </w:rPr>
        <w:t>, with preference patterns incompatible with classical self-preference; it can support first-pass screening before expert review but cannot replace it.</w:t>
      </w:r>
    </w:p>
    <w:p>
      <w:pPr>
        <w:spacing w:before="80" w:after="80" w:lineRule="auto" w:line="360"/>
        <w:ind w:firstLine="0"/>
        <w:jc w:val="both"/>
      </w:pPr>
      <w:r>
        <w:rPr>
          <w:rFonts w:ascii="Times New Roman" w:hAnsi="Times New Roman" w:eastAsia="宋体"/>
          <w:b w:val="0"/>
          <w:i w:val="0"/>
          <w:sz w:val="24"/>
        </w:rPr>
        <w:t>The study puts LLM scoring and blinded expert scoring side by side on the same documents and measures how far apart they are. For readers using or evaluating language models in health care, it offers a concrete reference point: where LLM scores and expert judgment part ways, by how much, and which configurations are worth choosing when human verification is mandatory. The natural next step is to have laboratory professionals formulate their local process requirements before generation begins; this approach is currently under evaluation.</w:t>
      </w:r>
    </w:p>
    <w:p>
      <w:pPr>
        <w:spacing w:before="80" w:after="80" w:lineRule="auto" w:line="360"/>
        <w:ind w:firstLine="0"/>
        <w:jc w:val="both"/>
      </w:pPr>
      <w:r>
        <w:rPr>
          <w:rFonts w:ascii="Times New Roman" w:hAnsi="Times New Roman" w:eastAsia="宋体"/>
          <w:b w:val="0"/>
          <w:i w:val="0"/>
          <w:sz w:val="24"/>
        </w:rPr>
        <w:t>All generated documents, ratings, and analysis code are openly available on GitHub (https://github.com/stttttte/iso15189-llm-config-experiment) and archived on Zenodo (DOI: 10.5281/zenodo.20091463). The study involved no patient data; written informed consent was obtained from the two raters who are co-authors. The authors declare no competing interests and no relationships with any LLM provider. The manuscript is not under consideration elsewhere, and all authors have approved the submission.</w:t>
      </w:r>
    </w:p>
    <w:p>
      <w:pPr>
        <w:spacing w:before="80" w:after="80" w:lineRule="auto" w:line="360"/>
        <w:ind w:firstLine="0"/>
        <w:jc w:val="both"/>
      </w:pPr>
      <w:r>
        <w:rPr>
          <w:rFonts w:ascii="Times New Roman" w:hAnsi="Times New Roman" w:eastAsia="宋体"/>
          <w:b/>
          <w:i w:val="0"/>
          <w:sz w:val="24"/>
        </w:rPr>
        <w:t>Suggested reviewers.</w:t>
      </w:r>
      <w:r>
        <w:rPr>
          <w:rFonts w:ascii="Times New Roman" w:hAnsi="Times New Roman" w:eastAsia="宋体"/>
          <w:b w:val="0"/>
          <w:i w:val="0"/>
          <w:sz w:val="24"/>
        </w:rPr>
        <w:t xml:space="preserve"> We respectfully suggest the following specialists in the evaluation of language models in health care:</w:t>
      </w:r>
    </w:p>
    <w:p>
      <w:pPr>
        <w:spacing w:before="80" w:after="80" w:lineRule="auto" w:line="360"/>
        <w:ind w:firstLine="0"/>
        <w:jc w:val="both"/>
      </w:pPr>
      <w:r>
        <w:rPr>
          <w:rFonts w:ascii="Times New Roman" w:hAnsi="Times New Roman" w:eastAsia="宋体"/>
          <w:b w:val="0"/>
          <w:i w:val="0"/>
          <w:sz w:val="24"/>
        </w:rPr>
        <w:t xml:space="preserve">1. </w:t>
      </w:r>
      <w:r>
        <w:rPr>
          <w:rFonts w:ascii="Times New Roman" w:hAnsi="Times New Roman" w:eastAsia="宋体"/>
          <w:b/>
          <w:i w:val="0"/>
          <w:sz w:val="24"/>
        </w:rPr>
        <w:t>Dr. Danielle L. Mowery</w:t>
      </w:r>
      <w:r>
        <w:rPr>
          <w:rFonts w:ascii="Times New Roman" w:hAnsi="Times New Roman" w:eastAsia="宋体"/>
          <w:b w:val="0"/>
          <w:i w:val="0"/>
          <w:sz w:val="24"/>
        </w:rPr>
        <w:t xml:space="preserve"> - Chief Research Information Officer, Perelman School of Medicine, University of Pennsylvania, Philadelphia, PA, USA. Email: danielle.mowery@pennmedicine.upenn.edu. Expertise: clinical natural language processing and evaluation methodology; co-author of a 2026 scoping review of LLM-as-a-judge in healthcare.</w:t>
      </w:r>
    </w:p>
    <w:p>
      <w:pPr>
        <w:spacing w:before="80" w:after="80" w:lineRule="auto" w:line="360"/>
        <w:ind w:firstLine="0"/>
        <w:jc w:val="both"/>
      </w:pPr>
      <w:r>
        <w:rPr>
          <w:rFonts w:ascii="Times New Roman" w:hAnsi="Times New Roman" w:eastAsia="宋体"/>
          <w:b w:val="0"/>
          <w:i w:val="0"/>
          <w:sz w:val="24"/>
        </w:rPr>
        <w:t xml:space="preserve">2. </w:t>
      </w:r>
      <w:r>
        <w:rPr>
          <w:rFonts w:ascii="Times New Roman" w:hAnsi="Times New Roman" w:eastAsia="宋体"/>
          <w:b/>
          <w:i w:val="0"/>
          <w:sz w:val="24"/>
        </w:rPr>
        <w:t>Prof. Harold P. Lehmann</w:t>
      </w:r>
      <w:r>
        <w:rPr>
          <w:rFonts w:ascii="Times New Roman" w:hAnsi="Times New Roman" w:eastAsia="宋体"/>
          <w:b w:val="0"/>
          <w:i w:val="0"/>
          <w:sz w:val="24"/>
        </w:rPr>
        <w:t xml:space="preserve"> - Professor of Health Sciences Informatics, Johns Hopkins University School of Medicine, Baltimore, MD, USA. Email: lehmann@jhmi.edu. Expertise: evaluation methodology for clinical informatics and decision support; co-author of a 2026 scoping review of LLM-as-a-judge in healthcare.</w:t>
      </w:r>
    </w:p>
    <w:p>
      <w:pPr>
        <w:spacing w:before="80" w:after="80" w:lineRule="auto" w:line="360"/>
        <w:ind w:firstLine="0"/>
        <w:jc w:val="both"/>
      </w:pPr>
      <w:r>
        <w:rPr>
          <w:rFonts w:ascii="Times New Roman" w:hAnsi="Times New Roman" w:eastAsia="宋体"/>
          <w:b w:val="0"/>
          <w:i w:val="0"/>
          <w:sz w:val="24"/>
        </w:rPr>
        <w:t xml:space="preserve">3. </w:t>
      </w:r>
      <w:r>
        <w:rPr>
          <w:rFonts w:ascii="Times New Roman" w:hAnsi="Times New Roman" w:eastAsia="宋体"/>
          <w:b/>
          <w:i w:val="0"/>
          <w:sz w:val="24"/>
        </w:rPr>
        <w:t>Dr. Veysel Kocaman</w:t>
      </w:r>
      <w:r>
        <w:rPr>
          <w:rFonts w:ascii="Times New Roman" w:hAnsi="Times New Roman" w:eastAsia="宋体"/>
          <w:b w:val="0"/>
          <w:i w:val="0"/>
          <w:sz w:val="24"/>
        </w:rPr>
        <w:t xml:space="preserve"> - Chief Technology Officer, John Snow Labs, Lewes, DE, USA. Email: veysel@johnsnowlabs.com. Expertise: first author of the CLEVER framework (JMIR AI, 2025) comparing expert review with LLM performance on clinical text tasks.</w:t>
      </w:r>
    </w:p>
    <w:p>
      <w:pPr>
        <w:spacing w:before="80" w:after="80" w:lineRule="auto" w:line="360"/>
        <w:ind w:firstLine="0"/>
        <w:jc w:val="both"/>
      </w:pPr>
      <w:r>
        <w:rPr>
          <w:rFonts w:ascii="Times New Roman" w:hAnsi="Times New Roman" w:eastAsia="宋体"/>
          <w:b w:val="0"/>
          <w:i w:val="0"/>
          <w:sz w:val="24"/>
        </w:rPr>
        <w:t xml:space="preserve">4. </w:t>
      </w:r>
      <w:r>
        <w:rPr>
          <w:rFonts w:ascii="Times New Roman" w:hAnsi="Times New Roman" w:eastAsia="宋体"/>
          <w:b/>
          <w:i w:val="0"/>
          <w:sz w:val="24"/>
        </w:rPr>
        <w:t>Dr. Andrew Y. Shin</w:t>
      </w:r>
      <w:r>
        <w:rPr>
          <w:rFonts w:ascii="Times New Roman" w:hAnsi="Times New Roman" w:eastAsia="宋体"/>
          <w:b w:val="0"/>
          <w:i w:val="0"/>
          <w:sz w:val="24"/>
        </w:rPr>
        <w:t xml:space="preserve"> - Department of Pediatrics, Stanford University School of Medicine, Stanford, CA, USA. Expertise: senior author of a dual-perspective (physician and family) evaluation of LLM-generated clinical summaries (JMIR AI, 2026).</w:t>
      </w:r>
    </w:p>
    <w:p>
      <w:pPr>
        <w:spacing w:before="80" w:after="80" w:lineRule="auto" w:line="360"/>
        <w:ind w:firstLine="0"/>
        <w:jc w:val="both"/>
      </w:pPr>
      <w:r>
        <w:rPr>
          <w:rFonts w:ascii="Times New Roman" w:hAnsi="Times New Roman" w:eastAsia="宋体"/>
          <w:b w:val="0"/>
          <w:i w:val="0"/>
          <w:sz w:val="24"/>
        </w:rPr>
        <w:t>Thank you for your consideration. We look forward to your response.</w:t>
      </w:r>
    </w:p>
    <w:p>
      <w:pPr>
        <w:spacing w:before="80" w:after="80" w:lineRule="auto" w:line="360"/>
        <w:ind w:firstLine="0"/>
        <w:jc w:val="both"/>
      </w:pPr>
      <w:r>
        <w:rPr>
          <w:rFonts w:ascii="Times New Roman" w:hAnsi="Times New Roman" w:eastAsia="宋体"/>
          <w:b w:val="0"/>
          <w:i w:val="0"/>
          <w:sz w:val="24"/>
        </w:rPr>
        <w:t>Sincerely,</w:t>
      </w:r>
    </w:p>
    <w:p>
      <w:pPr>
        <w:spacing w:before="80" w:after="80" w:lineRule="auto" w:line="360"/>
        <w:ind w:firstLine="0"/>
        <w:jc w:val="both"/>
      </w:pPr>
      <w:r>
        <w:rPr>
          <w:rFonts w:ascii="Times New Roman" w:hAnsi="Times New Roman" w:eastAsia="宋体"/>
          <w:b/>
          <w:i w:val="0"/>
          <w:sz w:val="24"/>
        </w:rPr>
        <w:t>Dongdong Li</w:t>
      </w:r>
      <w:r>
        <w:rPr>
          <w:rFonts w:ascii="Times New Roman" w:hAnsi="Times New Roman" w:eastAsia="宋体"/>
          <w:b w:val="0"/>
          <w:i w:val="0"/>
          <w:sz w:val="24"/>
        </w:rPr>
        <w:t>, on behalf of all authors</w:t>
      </w:r>
    </w:p>
    <w:p>
      <w:pPr>
        <w:spacing w:before="80" w:after="80" w:lineRule="auto" w:line="360"/>
        <w:ind w:firstLine="0"/>
        <w:jc w:val="both"/>
      </w:pPr>
      <w:r>
        <w:rPr>
          <w:rFonts w:ascii="Times New Roman" w:hAnsi="Times New Roman" w:eastAsia="宋体"/>
          <w:b w:val="0"/>
          <w:i w:val="0"/>
          <w:sz w:val="24"/>
        </w:rPr>
        <w:t>Department of Laboratory Medicine, West China Hospital, Sichuan University</w:t>
      </w:r>
    </w:p>
    <w:p>
      <w:pPr>
        <w:spacing w:before="80" w:after="80" w:lineRule="auto" w:line="360"/>
        <w:ind w:firstLine="0"/>
        <w:jc w:val="both"/>
      </w:pPr>
      <w:r>
        <w:rPr>
          <w:rFonts w:ascii="Times New Roman" w:hAnsi="Times New Roman" w:eastAsia="宋体"/>
          <w:b w:val="0"/>
          <w:i w:val="0"/>
          <w:sz w:val="24"/>
        </w:rPr>
        <w:t>Sichuan Clinical Research Center for Laboratory Medicine</w:t>
      </w:r>
    </w:p>
    <w:p>
      <w:pPr>
        <w:spacing w:before="80" w:after="80" w:lineRule="auto" w:line="360"/>
        <w:ind w:firstLine="0"/>
        <w:jc w:val="both"/>
      </w:pPr>
      <w:r>
        <w:rPr>
          <w:rFonts w:ascii="Times New Roman" w:hAnsi="Times New Roman" w:eastAsia="宋体"/>
          <w:b w:val="0"/>
          <w:i w:val="0"/>
          <w:sz w:val="24"/>
        </w:rPr>
        <w:t>Chengdu, Sichuan, PR China</w:t>
      </w:r>
    </w:p>
    <w:p>
      <w:pPr>
        <w:spacing w:before="80" w:after="80" w:lineRule="auto" w:line="360"/>
        <w:ind w:firstLine="0"/>
        <w:jc w:val="both"/>
      </w:pPr>
      <w:r>
        <w:rPr>
          <w:rFonts w:ascii="Times New Roman" w:hAnsi="Times New Roman" w:eastAsia="宋体"/>
          <w:b w:val="0"/>
          <w:i w:val="0"/>
          <w:sz w:val="24"/>
        </w:rPr>
        <w:t>Email: jiangxili1219@163.com</w:t>
      </w:r>
    </w:p>
    <w:p>
      <w:pPr>
        <w:spacing w:before="80" w:after="80" w:lineRule="auto" w:line="360"/>
        <w:ind w:firstLine="0"/>
        <w:jc w:val="both"/>
      </w:pPr>
      <w:r>
        <w:rPr>
          <w:rFonts w:ascii="Times New Roman" w:hAnsi="Times New Roman" w:eastAsia="宋体"/>
          <w:b w:val="0"/>
          <w:i w:val="0"/>
          <w:sz w:val="24"/>
        </w:rPr>
        <w:t>ORCID: 0000-0002-0290-6485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