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(Benjamini–Hochberg FDR-adjusted) showed that, at the LLM-judge tier, only the rules layer reached significance (Δ = +0.511; BH-adjusted p &lt; 0.001); the skeleton layer (Δ = +0.213; BH-adjusted p = 0.11), detailed content (Δ = −0.031; BH-adjusted p = 0.79), and examples (Δ = −0.053; BH-adjusted p = 0.61) did not.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H2_keep_examples (61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 xml:space="preserve">ISO 15189:2022 *Medical laboratories — Requirements for quality and competence* is the international standard for medical laboratory accreditation, and adoption by Chinese medical laboratories has continued to expand under the China National Accreditation Service for Conformity Assessment (CNAS) framework. CNAS-CL02:2023, the corresponding implementation document, was released in parallel. Such standards prescribe what laboratories *should do* but not *how to do it*, requiring each laboratory to construct, on its own, a complete </w:t>
      </w:r>
      <w:r>
        <w:rPr>
          <w:rFonts w:ascii="Times New Roman" w:hAnsi="Times New Roman" w:eastAsia="宋体"/>
          <w:b/>
          <w:sz w:val="22"/>
        </w:rPr>
        <w:t>quality management system (QMS) documentation</w:t>
      </w:r>
      <w:r>
        <w:rPr>
          <w:rFonts w:ascii="Times New Roman" w:hAnsi="Times New Roman" w:eastAsia="宋体"/>
          <w:b w:val="0"/>
          <w:sz w:val="22"/>
        </w:rPr>
        <w:t xml:space="preserve"> covering the quality manual, procedure documents, and standard operating instructions. Based on the corresponding author's experience as an ISO 15189 assessor, such a system in a typical tertiary-level hospital clinical laboratory contains on the order of 100–300 controlled documents and spans structural organisation, clause mapping, form numbering, and responsibility assignment; manual drafting by the quality team typically takes several months, followed by several rounds of internal audit before the system can be finalised. Laboratories pursuing CNAS accreditation generally engage technical experts or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demonstrated competence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surveys of LLM behaviour and prompting [4, 12] have focused on general-purpose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(auto_scorer.py, openly released) rated all 486 documents on five dimensions (0–5 integer scale).</w:t>
      </w:r>
    </w:p>
    <w:p>
      <w:pPr>
        <w:pStyle w:val="ListBullet"/>
        <w:spacing w:before="40" w:after="40" w:lineRule="auto" w:line="360"/>
      </w:pPr>
      <w:r>
        <w:rPr>
          <w:rFonts w:ascii="Times New Roman" w:hAnsi="Times New Roman" w:eastAsia="宋体"/>
          <w:b/>
          <w:sz w:val="22"/>
        </w:rPr>
        <w:t>Format</w:t>
      </w:r>
      <w:r>
        <w:rPr>
          <w:rFonts w:ascii="Times New Roman" w:hAnsi="Times New Roman" w:eastAsia="宋体"/>
          <w:b w:val="0"/>
          <w:sz w:val="22"/>
        </w:rPr>
        <w:t>: required section headings matched per task class (Class A procedure documents: 8 sections; Class B checklists/reports: 6 sections; Class C audit reports: 7 sections; synonyms accepted), combined with numbering-depth and empty-section checks; ≥3 missing sections scored 1, 1 missing section scored 3.</w:t>
      </w:r>
    </w:p>
    <w:p>
      <w:pPr>
        <w:pStyle w:val="ListBullet"/>
        <w:spacing w:before="40" w:after="40" w:lineRule="auto" w:line="360"/>
      </w:pPr>
      <w:r>
        <w:rPr>
          <w:rFonts w:ascii="Times New Roman" w:hAnsi="Times New Roman" w:eastAsia="宋体"/>
          <w:b/>
          <w:sz w:val="22"/>
        </w:rPr>
        <w:t>Clause coverage</w:t>
      </w:r>
      <w:r>
        <w:rPr>
          <w:rFonts w:ascii="Times New Roman" w:hAnsi="Times New Roman" w:eastAsia="宋体"/>
          <w:b w:val="0"/>
          <w:sz w:val="22"/>
        </w:rPr>
        <w:t>: regular-expression matching of ISO 15189:2022 chapter 4–8 clause identifiers (e.g., 5.4.1), filtered by a ±40-character context window to suppress spurious matches; ≥10 unique clauses with at least one CNAS-CL02 reference scored 5, no reference scored 1.</w:t>
      </w:r>
    </w:p>
    <w:p>
      <w:pPr>
        <w:pStyle w:val="ListBullet"/>
        <w:spacing w:before="40" w:after="40" w:lineRule="auto" w:line="360"/>
      </w:pPr>
      <w:r>
        <w:rPr>
          <w:rFonts w:ascii="Times New Roman" w:hAnsi="Times New Roman" w:eastAsia="宋体"/>
          <w:b/>
          <w:sz w:val="22"/>
        </w:rPr>
        <w:t>Terminology compliance</w:t>
      </w:r>
      <w:r>
        <w:rPr>
          <w:rFonts w:ascii="Times New Roman" w:hAnsi="Times New Roman" w:eastAsia="宋体"/>
          <w:b w:val="0"/>
          <w:sz w:val="22"/>
        </w:rPr>
        <w:t>: a 14-term mapping table aligned with ISO 15189:2022 / CNAS-CL02:2023 (e.g., 分析前过程 → 检验前过程, 标本 → 样品, 不确定度 → 测量不确定度), with context-exclusion rules to avoid false positives (e.g., 不确定度 inside 测量不确定度 is not flagged).</w:t>
      </w:r>
    </w:p>
    <w:p>
      <w:pPr>
        <w:pStyle w:val="ListBullet"/>
        <w:spacing w:before="40" w:after="40" w:lineRule="auto" w:line="360"/>
      </w:pPr>
      <w:r>
        <w:rPr>
          <w:rFonts w:ascii="Times New Roman" w:hAnsi="Times New Roman" w:eastAsia="宋体"/>
          <w:b/>
          <w:sz w:val="22"/>
        </w:rPr>
        <w:t>Vague expressions</w:t>
      </w:r>
      <w:r>
        <w:rPr>
          <w:rFonts w:ascii="Times New Roman" w:hAnsi="Times New Roman" w:eastAsia="宋体"/>
          <w:b w:val="0"/>
          <w:sz w:val="22"/>
        </w:rPr>
        <w:t>: detection of expressions such as 及时, 相关人员, 定期, dual-filtered by a compound-word whitelist and a 30-character trailing window for frequency quantifiers (e.g., "weekly" or "annually" suppresses the flag).</w:t>
      </w:r>
    </w:p>
    <w:p>
      <w:pPr>
        <w:pStyle w:val="ListBullet"/>
        <w:spacing w:before="40" w:after="40" w:lineRule="auto" w:line="360"/>
      </w:pPr>
      <w:r>
        <w:rPr>
          <w:rFonts w:ascii="Times New Roman" w:hAnsi="Times New Roman" w:eastAsia="宋体"/>
          <w:b/>
          <w:sz w:val="22"/>
        </w:rPr>
        <w:t>Composite score</w:t>
      </w:r>
      <w:r>
        <w:rPr>
          <w:rFonts w:ascii="Times New Roman" w:hAnsi="Times New Roman" w:eastAsia="宋体"/>
          <w:b w:val="0"/>
          <w:sz w:val="22"/>
        </w:rPr>
        <w:t>: a weighted aggregate (auto_weighted) of the five dimensions; the exact weights are defined in the WEIGHTS dictionary of auto_scorer.py.</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was used as judge under a "CNAS chief assessor" role prompt (the JUDGE_PROMPT_TEMPLATE in gpt_cnas_judge.py, identical to that used in Tier 2b), scoring each document on five dimensions on a 0–5 scale (rubric below). Model parameters: temperature = 1.0, max_tokens = 4 096; one rating per document, single API call. A total of 378 Claude-judge ratings were generated: 270 covered the six core configuration groups (A/B/C/E/F/G) × 15 tasks × 3 replicates (Claude-gen, per-paper raw fully released); 81 covered 9 configurations × A1/B1/C1 × 3 replicates (GPT-gen, archived only as aggregated means; see §4.5 limitation x); and 27 covered the H groups (H2/H3/H4) × A1/B1/C1 × 3 replicates (Claude-gen, archived only as aggregated means).</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xml:space="preserve">: GPT-5.4 (OpenAI, accessed through the AIHubMix API proxy) served as judge using exactly the same prompt, rubric, and 0–5 scale as Tier 2a. Model parameters: temperature = 1.0, max_tokens = 4 096. All 486 generated documents were rated (405 Claude-gen + 81 GPT-gen), one rating per document; per-paper raw JSON files are fully retained and openly released. Combined, Tiers 2a and 2b yielded </w:t>
      </w:r>
      <w:r>
        <w:rPr>
          <w:rFonts w:ascii="Times New Roman" w:hAnsi="Times New Roman" w:eastAsia="宋体"/>
          <w:b/>
          <w:sz w:val="22"/>
        </w:rPr>
        <w:t>864 LLM-judge ratings</w:t>
      </w:r>
      <w:r>
        <w:rPr>
          <w:rFonts w:ascii="Times New Roman" w:hAnsi="Times New Roman" w:eastAsia="宋体"/>
          <w:b w:val="0"/>
          <w:sz w:val="22"/>
        </w:rPr>
        <w:t xml:space="preserve"> (= 378 from Claude-judge + 486 from GPT-judge); the asymmetry reflects that Claude-judge was not run on H-group × full-15-task or on the complete GPT-gen set (see §4.5 limitation x).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of the five dimensions was scored on a 0–5 integer scale: </w:t>
      </w:r>
      <w:r>
        <w:rPr>
          <w:rFonts w:ascii="Times New Roman" w:hAnsi="Times New Roman" w:eastAsia="宋体"/>
          <w:b/>
          <w:sz w:val="22"/>
        </w:rPr>
        <w:t>5 = fully compliant</w:t>
      </w:r>
      <w:r>
        <w:rPr>
          <w:rFonts w:ascii="Times New Roman" w:hAnsi="Times New Roman" w:eastAsia="宋体"/>
          <w:b w:val="0"/>
          <w:sz w:val="22"/>
        </w:rPr>
        <w:t xml:space="preserve"> (5-point anchor below); </w:t>
      </w:r>
      <w:r>
        <w:rPr>
          <w:rFonts w:ascii="Times New Roman" w:hAnsi="Times New Roman" w:eastAsia="宋体"/>
          <w:b/>
          <w:sz w:val="22"/>
        </w:rPr>
        <w:t>4 = mostly compliant</w:t>
      </w:r>
      <w:r>
        <w:rPr>
          <w:rFonts w:ascii="Times New Roman" w:hAnsi="Times New Roman" w:eastAsia="宋体"/>
          <w:b w:val="0"/>
          <w:sz w:val="22"/>
        </w:rPr>
        <w:t xml:space="preserve"> (between the 5- and 3-point anchors, with minor issues only); </w:t>
      </w:r>
      <w:r>
        <w:rPr>
          <w:rFonts w:ascii="Times New Roman" w:hAnsi="Times New Roman" w:eastAsia="宋体"/>
          <w:b/>
          <w:sz w:val="22"/>
        </w:rPr>
        <w:t>3 = partially compliant</w:t>
      </w:r>
      <w:r>
        <w:rPr>
          <w:rFonts w:ascii="Times New Roman" w:hAnsi="Times New Roman" w:eastAsia="宋体"/>
          <w:b w:val="0"/>
          <w:sz w:val="22"/>
        </w:rPr>
        <w:t xml:space="preserve"> (3-point anchor); </w:t>
      </w:r>
      <w:r>
        <w:rPr>
          <w:rFonts w:ascii="Times New Roman" w:hAnsi="Times New Roman" w:eastAsia="宋体"/>
          <w:b/>
          <w:sz w:val="22"/>
        </w:rPr>
        <w:t>2 = noticeably non-compliant</w:t>
      </w:r>
      <w:r>
        <w:rPr>
          <w:rFonts w:ascii="Times New Roman" w:hAnsi="Times New Roman" w:eastAsia="宋体"/>
          <w:b w:val="0"/>
          <w:sz w:val="22"/>
        </w:rPr>
        <w:t xml:space="preserve"> (between the 3- and 1-point anchors); </w:t>
      </w:r>
      <w:r>
        <w:rPr>
          <w:rFonts w:ascii="Times New Roman" w:hAnsi="Times New Roman" w:eastAsia="宋体"/>
          <w:b/>
          <w:sz w:val="22"/>
        </w:rPr>
        <w:t>1 = severely non-compliant</w:t>
      </w:r>
      <w:r>
        <w:rPr>
          <w:rFonts w:ascii="Times New Roman" w:hAnsi="Times New Roman" w:eastAsia="宋体"/>
          <w:b w:val="0"/>
          <w:sz w:val="22"/>
        </w:rPr>
        <w:t xml:space="preserve"> (1-point anchor); </w:t>
      </w:r>
      <w:r>
        <w:rPr>
          <w:rFonts w:ascii="Times New Roman" w:hAnsi="Times New Roman" w:eastAsia="宋体"/>
          <w:b/>
          <w:sz w:val="22"/>
        </w:rPr>
        <w:t>0 = the dimension cannot be evaluated</w:t>
      </w:r>
      <w:r>
        <w:rPr>
          <w:rFonts w:ascii="Times New Roman" w:hAnsi="Times New Roman" w:eastAsia="宋体"/>
          <w:b w:val="0"/>
          <w:sz w:val="22"/>
        </w:rPr>
        <w:t xml:space="preserve"> because the document is essentially absent or non-substantive (e.g., the model returned only a planning enquiry rather than the requested document). The 5/3/1 anchor descriptors below were specified to all judges (LLM and expert) in identical wording; intermediate scores (2, 4) were assigned when the document fell between two adjacent anchors.</w:t>
      </w:r>
    </w:p>
    <w:p>
      <w:pPr>
        <w:spacing w:before="80" w:after="80" w:lineRule="auto" w:line="360"/>
        <w:ind w:firstLine="0"/>
        <w:jc w:val="both"/>
      </w:pPr>
      <w:r>
        <w:rPr>
          <w:rFonts w:ascii="Times New Roman" w:hAnsi="Times New Roman" w:eastAsia="宋体"/>
          <w:b/>
          <w:sz w:val="22"/>
        </w:rPr>
        <w:t>Five-dimensional rating rubric</w:t>
      </w:r>
      <w:r>
        <w:rPr>
          <w:rFonts w:ascii="Times New Roman" w:hAnsi="Times New Roman" w:eastAsia="宋体"/>
          <w:b w:val="0"/>
          <w:sz w:val="22"/>
        </w:rPr>
        <w:t xml:space="preserve"> (shared by Tiers 2a/2b and Tier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with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merely cited without implementation, or major omissions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quantified deadline, and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actionable, a few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present but A (improvement/feedback)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applicable to any laboratory</w:t>
            </w:r>
          </w:p>
        </w:tc>
      </w:tr>
    </w:tbl>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xml:space="preserve">: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rubric as the LLM judges (see table above) and were free to consult the full text of ISO 15189:2022 and CNAS-CL02:2023 and their annexes during scoring. </w:t>
      </w:r>
      <w:r>
        <w:rPr>
          <w:rFonts w:ascii="Times New Roman" w:hAnsi="Times New Roman" w:eastAsia="宋体"/>
          <w:b/>
          <w:sz w:val="22"/>
        </w:rPr>
        <w:t>Conflict-of-interest declaration for raters.</w:t>
      </w:r>
      <w:r>
        <w:rPr>
          <w:rFonts w:ascii="Times New Roman" w:hAnsi="Times New Roman" w:eastAsia="宋体"/>
          <w:b w:val="0"/>
          <w:sz w:val="22"/>
        </w:rPr>
        <w:t xml:space="preserve"> None of the three raters has any commercial, research, or consulting relationship with Anthropic, OpenAI, or any other LLM provider, and none received funding or in-kind support from these entities for this study. </w:t>
      </w: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and the ISO/CNAS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w:t>
      </w:r>
    </w:p>
    <w:p>
      <w:pPr>
        <w:pStyle w:val="ListBullet"/>
        <w:spacing w:before="40" w:after="40" w:lineRule="auto" w:line="360"/>
      </w:pPr>
      <w:r>
        <w:rPr>
          <w:rFonts w:ascii="Times New Roman" w:hAnsi="Times New Roman" w:eastAsia="宋体"/>
          <w:b w:val="0"/>
          <w:sz w:val="22"/>
        </w:rPr>
        <w:t>*File renaming.* Each sampled document was copied from its original path outputs/{group}/{group}-{task}-{rep}.md to a flat series paper_01.md … paper_10.md; group and replicate identifiers were thereby removed from the filename and the directory structure presented to experts.</w:t>
      </w:r>
    </w:p>
    <w:p>
      <w:pPr>
        <w:pStyle w:val="ListBullet"/>
        <w:spacing w:before="40" w:after="40" w:lineRule="auto" w:line="360"/>
      </w:pPr>
      <w:r>
        <w:rPr>
          <w:rFonts w:ascii="Times New Roman" w:hAnsi="Times New Roman" w:eastAsia="宋体"/>
          <w:b w:val="0"/>
          <w:sz w:val="22"/>
        </w:rPr>
        <w:t>*Content sanitisation.* An automated text scan of all 10 blinded files confirmed zero occurrences of any model identifier ("Claude", "GPT", "Opus") or configuration-group token ("H4", "C_full", "G_template", "F_template", "H2_keep", "E_rules", "A_bare", "H3_skeleton") in the document body, so the model/configuration source could not be inferred from the text.</w:t>
      </w:r>
    </w:p>
    <w:p>
      <w:pPr>
        <w:pStyle w:val="ListBullet"/>
        <w:spacing w:before="40" w:after="40" w:lineRule="auto" w:line="360"/>
      </w:pPr>
      <w:r>
        <w:rPr>
          <w:rFonts w:ascii="Times New Roman" w:hAnsi="Times New Roman" w:eastAsia="宋体"/>
          <w:b w:val="0"/>
          <w:sz w:val="22"/>
        </w:rPr>
        <w:t>*Order randomisation.* The assignment of (group, task, rep) triples to paper_01–paper_10 was shuffled with a fixed Python random seed (seed = 42). The resulting order was identical for all three experts; only the task category (e.g., "Personnel training and competence-evaluation control procedure") was disclosed in the rating sheet, because this is intrinsic to the document and necessary for assessment, while the underlying configuration group remained hidden.</w:t>
      </w:r>
    </w:p>
    <w:p>
      <w:pPr>
        <w:pStyle w:val="ListBullet"/>
        <w:spacing w:before="40" w:after="40" w:lineRule="auto" w:line="360"/>
      </w:pPr>
      <w:r>
        <w:rPr>
          <w:rFonts w:ascii="Times New Roman" w:hAnsi="Times New Roman" w:eastAsia="宋体"/>
          <w:b w:val="0"/>
          <w:sz w:val="22"/>
        </w:rPr>
        <w:t>*Key isolation.* The (paper_id → group, task, rep) mapping (blind_review/key.json) was sealed before scoring began and was opened only after all three rater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xml:space="preserve">Pairwise between-group comparisons used the two-sided Mann–Whitney U test (scipy.stats.mannwhitneyu) on per-paper GPT-judge scores (n = 45 per group: 15 tasks × 3 replicates). Multiple-comparison adjustment within the four-factor ablation used the Benjamini–Hochberg false-discovery-rate (FDR) procedure (statsmodels.stats.multitest.multipletests, method='fdr_bh', α = 0.05); BH was preferred over Bonferroni given the exploratory nature of the four-contrast ablation. The four configuration-component effects were quantified under an orthogonal substitution scheme using targeted configuration contrasts: rules = E_rules_v2 vs A_bare; skeleton = H4_sop_only vs E_rules_v2; detailed content = G_template_rules vs H3_skeleton; examples = H2_keep_examples vs G_template_rules. Each effect Δ was defined as a *simple arithmetic mean difference*, Δ = mean(group_B) − mean(group_A), where each group mean is the unweighted average of the 45 per-paper GPT-judge scores in that configuration; no covariates, random effects, weighting, or shrinkage were applied. The same 45-per-group sample served as input to the corresponding Mann–Whitney U test reported alongside each Δ. No L9 orthogonal-array decomposition, least-squares-means estimation, or mixed-effects modelling was used. Inter-rater agreement was assessed by three complementary measures: Pearson correlation captures linear association while tolerating systematic shift between raters; Spearman correlation assesses rank-order agreement without assuming linearity; and intraclass correlation coefficients quantify reliability under the standard framework. We report all three to give a complete picture of inter-rater patterns. Four ICC variants defined by Shrout and Fleiss [13] are used: </w:t>
      </w:r>
      <w:r>
        <w:rPr>
          <w:rFonts w:ascii="Times New Roman" w:hAnsi="Times New Roman" w:eastAsia="宋体"/>
          <w:b/>
          <w:sz w:val="22"/>
        </w:rPr>
        <w:t>ICC(2,1)</w:t>
      </w:r>
      <w:r>
        <w:rPr>
          <w:rFonts w:ascii="Times New Roman" w:hAnsi="Times New Roman" w:eastAsia="宋体"/>
          <w:b w:val="0"/>
          <w:sz w:val="22"/>
        </w:rPr>
        <w:t xml:space="preserve"> (single-rater absolute agreement, two-way random effects) and </w:t>
      </w:r>
      <w:r>
        <w:rPr>
          <w:rFonts w:ascii="Times New Roman" w:hAnsi="Times New Roman" w:eastAsia="宋体"/>
          <w:b/>
          <w:sz w:val="22"/>
        </w:rPr>
        <w:t>ICC(3,1)</w:t>
      </w:r>
      <w:r>
        <w:rPr>
          <w:rFonts w:ascii="Times New Roman" w:hAnsi="Times New Roman" w:eastAsia="宋体"/>
          <w:b w:val="0"/>
          <w:sz w:val="22"/>
        </w:rPr>
        <w:t xml:space="preserve"> (single-rater consistency, two-way mixed effects) for pairwise comparisons (e.g., expert mean vs LLM judge, and rater-pair comparisons within the expert panel); and </w:t>
      </w:r>
      <w:r>
        <w:rPr>
          <w:rFonts w:ascii="Times New Roman" w:hAnsi="Times New Roman" w:eastAsia="宋体"/>
          <w:b/>
          <w:sz w:val="22"/>
        </w:rPr>
        <w:t>ICC(2,k)</w:t>
      </w:r>
      <w:r>
        <w:rPr>
          <w:rFonts w:ascii="Times New Roman" w:hAnsi="Times New Roman" w:eastAsia="宋体"/>
          <w:b w:val="0"/>
          <w:sz w:val="22"/>
        </w:rPr>
        <w:t xml:space="preserve"> and </w:t>
      </w:r>
      <w:r>
        <w:rPr>
          <w:rFonts w:ascii="Times New Roman" w:hAnsi="Times New Roman" w:eastAsia="宋体"/>
          <w:b/>
          <w:sz w:val="22"/>
        </w:rPr>
        <w:t>ICC(3,k)</w:t>
      </w:r>
      <w:r>
        <w:rPr>
          <w:rFonts w:ascii="Times New Roman" w:hAnsi="Times New Roman" w:eastAsia="宋体"/>
          <w:b w:val="0"/>
          <w:sz w:val="22"/>
        </w:rPr>
        <w:t xml:space="preserve"> — the corresponding *averaged k-rater* reliability variants with k = 3 — for the overall reliability of the three-rater expert panel.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All four ablation effects are reported with both raw and Benjamini–Hochberg-adjusted p-values. The rules layer was the only factor reaching significance after correction (Δ = +0.511; raw p &lt; 0.001; BH-adjusted p &lt; 0.001). The skeleton layer (Δ = +0.213; raw p = 0.055; BH-adjusted p = 0.11) showed a directional positive effect that did not reach the conventional 0.05 threshold after multiple-comparison correction; we interpret this as suggestive evidence requiring replication. Detailed content (G vs. H3: Δ = −0.031; raw p = 0.79; BH-adjusted p = 0.79) and examples (H2 vs. G: Δ = −0.053; raw p = 0.46; BH-adjusted p = 0.61) showed no statistical contribution. H4 and H3 did not differ (Δ = −0.009, raw p = 0.80; this contrast is descriptive and lies outside the four-factor BH set, hence reported uncorrected),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the rules layer is necessary (BH-adjusted p &lt; 0.001), the skeleton layer shows a directional benefit that did not reach significance after correction (BH-adjusted p = 0.11), while detailed content and examples contribute nothing.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 (xii) No pre-scoring expert calibration: the three raters scored independently from the published five-dimensional rubric and the ISO 15189:2022 / CNAS-CL02:2023 standards without a prior calibration session in which a few example documents would be scored together to align interpretation. The very high inter-rater agreement [ICC(2,k) = 0.982] indicates that the rubric was sufficiently self-explanatory in this institutional context, but a formal calibration step would strengthen replication in future multi-centre studies.</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