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 = 378 条 Claude 评审 + 486 条 GPT 评审，含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四因子正交消融（Benjamini-Hochberg FDR 校正）显示，LLM 评估层下仅规则层达到显著（Δ=+0.511；BH-adjusted p&lt;0.001）；骨架层（Δ=+0.213；BH-adjusted p=0.11）、详细内容（Δ=−0.031；BH-adjusted p=0.79）与示例（Δ=−0.053；BH-adjusted p=0.61）均未达显著。(2)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K）、H2_keep_examples（61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15189:2022《医学实验室——质量和能力的要求》作为医学实验室认证的国际标准，在中国合格评定国家认可委员会（CNAS）框架下，国内医学实验室的采用持续扩大。CNAS-CL02:2023 作为对应的实施文本同步推出。该类标准明确规定实验室"应做什么"但不规定"如何做"，因此实验室须自行构建覆盖质量手册、程序文件与作业指导书的完整</w:t>
      </w:r>
      <w:r>
        <w:rPr>
          <w:rFonts w:ascii="Times New Roman" w:hAnsi="Times New Roman" w:eastAsia="宋体"/>
          <w:b/>
          <w:sz w:val="22"/>
        </w:rPr>
        <w:t>质量管理体系（quality management system, QMS）文件</w:t>
      </w:r>
      <w:r>
        <w:rPr>
          <w:rFonts w:ascii="Times New Roman" w:hAnsi="Times New Roman" w:eastAsia="宋体"/>
          <w:b w:val="0"/>
          <w:sz w:val="22"/>
        </w:rPr>
        <w:t>。根据通讯作者作为 ISO 15189 评审员的经验，此类体系在典型三级甲等医院检验科中通常包含约 100–300 份受控文件，涉及结构组织、条款映射、表单编号与职责分配的系统工程；依靠质量小组手工编写通常需时数月，体系建立后还需经过多轮内审方可定型。寻求 CNAS 认可的实验室通常会聘请技术专家或培训师协助完成此过程。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等新一代模型在长文档生成、结构化输出和专业术语使用方面已显示出相应能力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行为与 prompting 综述 [4,12] 多关注通用任务，缺乏针对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18822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1_config_compositi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18822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自动合规评分器（auto_scorer.py，已开源）对全部 486 份文件按 5 个维度评分（0–5 分整数）。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格式</w:t>
      </w:r>
      <w:r>
        <w:rPr>
          <w:rFonts w:ascii="Times New Roman" w:hAnsi="Times New Roman" w:eastAsia="宋体"/>
          <w:b w:val="0"/>
          <w:sz w:val="22"/>
        </w:rPr>
        <w:t>：按任务类别匹配必需章节标题（A 类程序文件 8 段、B 类检查表/报告 6 段、C 类审查报告 7 段；接受同义变体），结合编号层级深度与空章节检测；缺失 3 段及以上记 1 分，缺失 1 段记 3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条款覆盖</w:t>
      </w:r>
      <w:r>
        <w:rPr>
          <w:rFonts w:ascii="Times New Roman" w:hAnsi="Times New Roman" w:eastAsia="宋体"/>
          <w:b w:val="0"/>
          <w:sz w:val="22"/>
        </w:rPr>
        <w:t>：正则匹配 ISO 15189:2022 第 4–8 章条款号（如 5.4.1），用前后 40 字符上下文窗口过滤误匹配；引用 ≥10 条且含 CNAS-CL02 引用记 5 分，无引用记 1 分。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术语合规</w:t>
      </w:r>
      <w:r>
        <w:rPr>
          <w:rFonts w:ascii="Times New Roman" w:hAnsi="Times New Roman" w:eastAsia="宋体"/>
          <w:b w:val="0"/>
          <w:sz w:val="22"/>
        </w:rPr>
        <w:t>：依据 ISO 15189:2022 / CNAS-CL02:2023 校验 14 条术语对照表（如"分析前过程"→"检验前过程"、"标本"→"样品"、"不确定度"→"测量不确定度"），含上下文排除规则避免合理用法误判（如"测量不确定度"中的"不确定度"不计违规）。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模糊表述</w:t>
      </w:r>
      <w:r>
        <w:rPr>
          <w:rFonts w:ascii="Times New Roman" w:hAnsi="Times New Roman" w:eastAsia="宋体"/>
          <w:b w:val="0"/>
          <w:sz w:val="22"/>
        </w:rPr>
        <w:t>：检测"及时""相关人员""定期"等模糊词，经复合词白名单与后续 30 字符内频率量化（如"每周""每年"）双重过滤。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/>
          <w:sz w:val="22"/>
        </w:rPr>
        <w:t>综合分</w:t>
      </w:r>
      <w:r>
        <w:rPr>
          <w:rFonts w:ascii="Times New Roman" w:hAnsi="Times New Roman" w:eastAsia="宋体"/>
          <w:b w:val="0"/>
          <w:sz w:val="22"/>
        </w:rPr>
        <w:t>：5 维度按预设权重加权得到 auto_weighted（具体权重见 auto_scorer.py 中 WEIGHTS 字典）。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：以 Claude Opus 4.6 作为评审员，按"CNAS 主任评审员"角色 prompt（模板见 gpt_cnas_judge.py 的 JUDGE_PROMPT_TEMPLATE，与 Tier 2b 完全一致）对每份文件按 5 维度 0–5 分评分（量规见下表）。模型参数：temperature=1.0，max_tokens=4 096，单文件单次评分。共生成 378 条 Claude-judge 评分：270 条覆盖 6 个核心配置组（A/B/C/E/F/G）× 15 任务 × 3 重复（Claude-gen，per-paper raw 完整公开）；81 条覆盖 9 配置 × A1/B1/C1 × 3 重复（GPT-gen，仅聚合均值保留，见 §4.5 局限性 x）；27 条覆盖 H 组（H2/H3/H4）× A1/B1/C1 × 3 重复（Claude-gen，仅聚合保留）。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 xml:space="preserve">：以 GPT-5.4（OpenAI，通过 AIHubMix API 代理调用）作为评审员，使用与 Tier 2a 完全相同的 prompt、量规与 0–5 分评分尺度。模型参数：temperature=1.0，max_tokens=4 096。覆盖全部 486 份生成文件（405 Claude-gen + 81 GPT-gen），每份 1 次评分，per-paper raw JSON 全部保留并公开。Tier 2a 与 2b 合计共 </w:t>
      </w:r>
      <w:r>
        <w:rPr>
          <w:rFonts w:ascii="Times New Roman" w:hAnsi="Times New Roman" w:eastAsia="宋体"/>
          <w:b/>
          <w:sz w:val="22"/>
        </w:rPr>
        <w:t>864 条 LLM 评审评分</w:t>
      </w:r>
      <w:r>
        <w:rPr>
          <w:rFonts w:ascii="Times New Roman" w:hAnsi="Times New Roman" w:eastAsia="宋体"/>
          <w:b w:val="0"/>
          <w:sz w:val="22"/>
        </w:rPr>
        <w:t>（= 378 条 Claude 评审 + 486 条 GPT 评审）；非对称源于 Claude 评审未覆盖 H 组完整 15 任务及完整 GPT-gen 集（详见 §4.5 局限性 x）。两层共同构成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评分尺度</w:t>
      </w:r>
      <w:r>
        <w:rPr>
          <w:rFonts w:ascii="Times New Roman" w:hAnsi="Times New Roman" w:eastAsia="宋体"/>
          <w:b w:val="0"/>
          <w:sz w:val="22"/>
        </w:rPr>
        <w:t>：每个维度按 0–5 整数评分：</w:t>
      </w:r>
      <w:r>
        <w:rPr>
          <w:rFonts w:ascii="Times New Roman" w:hAnsi="Times New Roman" w:eastAsia="宋体"/>
          <w:b/>
          <w:sz w:val="22"/>
        </w:rPr>
        <w:t>5 = 完全符合</w:t>
      </w:r>
      <w:r>
        <w:rPr>
          <w:rFonts w:ascii="Times New Roman" w:hAnsi="Times New Roman" w:eastAsia="宋体"/>
          <w:b w:val="0"/>
          <w:sz w:val="22"/>
        </w:rPr>
        <w:t>（下表 5 分锚点）；</w:t>
      </w:r>
      <w:r>
        <w:rPr>
          <w:rFonts w:ascii="Times New Roman" w:hAnsi="Times New Roman" w:eastAsia="宋体"/>
          <w:b/>
          <w:sz w:val="22"/>
        </w:rPr>
        <w:t>4 = 基本符合</w:t>
      </w:r>
      <w:r>
        <w:rPr>
          <w:rFonts w:ascii="Times New Roman" w:hAnsi="Times New Roman" w:eastAsia="宋体"/>
          <w:b w:val="0"/>
          <w:sz w:val="22"/>
        </w:rPr>
        <w:t>（介于 5 分与 3 分锚点之间，仅有少量瑕疵）；</w:t>
      </w:r>
      <w:r>
        <w:rPr>
          <w:rFonts w:ascii="Times New Roman" w:hAnsi="Times New Roman" w:eastAsia="宋体"/>
          <w:b/>
          <w:sz w:val="22"/>
        </w:rPr>
        <w:t>3 = 部分符合</w:t>
      </w:r>
      <w:r>
        <w:rPr>
          <w:rFonts w:ascii="Times New Roman" w:hAnsi="Times New Roman" w:eastAsia="宋体"/>
          <w:b w:val="0"/>
          <w:sz w:val="22"/>
        </w:rPr>
        <w:t>（3 分锚点）；</w:t>
      </w:r>
      <w:r>
        <w:rPr>
          <w:rFonts w:ascii="Times New Roman" w:hAnsi="Times New Roman" w:eastAsia="宋体"/>
          <w:b/>
          <w:sz w:val="22"/>
        </w:rPr>
        <w:t>2 = 明显不符</w:t>
      </w:r>
      <w:r>
        <w:rPr>
          <w:rFonts w:ascii="Times New Roman" w:hAnsi="Times New Roman" w:eastAsia="宋体"/>
          <w:b w:val="0"/>
          <w:sz w:val="22"/>
        </w:rPr>
        <w:t>（介于 3 分与 1 分锚点之间）；</w:t>
      </w:r>
      <w:r>
        <w:rPr>
          <w:rFonts w:ascii="Times New Roman" w:hAnsi="Times New Roman" w:eastAsia="宋体"/>
          <w:b/>
          <w:sz w:val="22"/>
        </w:rPr>
        <w:t>1 = 严重不符</w:t>
      </w:r>
      <w:r>
        <w:rPr>
          <w:rFonts w:ascii="Times New Roman" w:hAnsi="Times New Roman" w:eastAsia="宋体"/>
          <w:b w:val="0"/>
          <w:sz w:val="22"/>
        </w:rPr>
        <w:t>（1 分锚点）；</w:t>
      </w:r>
      <w:r>
        <w:rPr>
          <w:rFonts w:ascii="Times New Roman" w:hAnsi="Times New Roman" w:eastAsia="宋体"/>
          <w:b/>
          <w:sz w:val="22"/>
        </w:rPr>
        <w:t>0 = 维度不可评估</w:t>
      </w:r>
      <w:r>
        <w:rPr>
          <w:rFonts w:ascii="Times New Roman" w:hAnsi="Times New Roman" w:eastAsia="宋体"/>
          <w:b w:val="0"/>
          <w:sz w:val="22"/>
        </w:rPr>
        <w:t>——文件实质性缺失或非实质性输出（例如模型仅返回计划性问询而未生成所需文件）。下表 5/3/1 分锚点描述以完全一致的措辞同时提供给所有评审员（LLM 与专家）；中间分数（2、4）由评分员在两个相邻锚点之间判定。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5 维度评分量规</w:t>
      </w:r>
      <w:r>
        <w:rPr>
          <w:rFonts w:ascii="Times New Roman" w:hAnsi="Times New Roman" w:eastAsia="宋体"/>
          <w:b w:val="0"/>
          <w:sz w:val="22"/>
        </w:rPr>
        <w:t>（Tier 2a/2b 与 Tier 3 共用）：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09"/>
        <w:gridCol w:w="2209"/>
        <w:gridCol w:w="2209"/>
        <w:gridCol w:w="2209"/>
      </w:tblGrid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维度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5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3 分锚点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1 分锚点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条款满足度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对应条款所有 SHALL 要求均有具体落地措施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覆盖主要条款但有遗漏或浮于表面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大量条款仅引用未落实，或严重遗漏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可操作性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每步有具体责任人（岗位名）、量化时限、明确输出（表单编号）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大部分步骤可操作，少量模糊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大量"及时""相关人员""定期"等无法执行的表述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内部一致性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引用的文件/表单全部在相关章节列出，职责分配清晰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少量悬空引用或表述矛盾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大量悬空引用或职责冲突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PDCA 闭环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明确有计划、执行记录、效果评估、不合格处理→改进的完整链条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 P-D-C 但缺少 A（改进/反馈机制）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仅描述执行步骤，无检查和改进</w:t>
            </w:r>
          </w:p>
        </w:tc>
      </w:tr>
      <w:tr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专业深度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包含检验科专业细节（如 Westgard 规则、测量不确定度、Sigma 度量、HIL 指数、盲样测试、PCR 分区、冷链等）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有一定专业性但偏通用</w:t>
            </w:r>
          </w:p>
        </w:tc>
        <w:tc>
          <w:tcPr>
            <w:tcW w:type="dxa" w:w="2209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内容泛泛，可套用于任何实验室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份。三位专家独立评分，不互相查看评分或讨论；Rater 2 与 Rater 3 在不知晓 Rater 1 评分的前提下完成评分后方与之汇总。评分前获得 Rater 2 与 Rater 3 的书面知情同意。专家使用与 LLM 评审员完全相同的上述 5 维度评分量规；评分时可自由查阅 ISO 15189:2022 与 CNAS-CL02:2023 标准原文及配套附录。</w:t>
      </w:r>
      <w:r>
        <w:rPr>
          <w:rFonts w:ascii="Times New Roman" w:hAnsi="Times New Roman" w:eastAsia="宋体"/>
          <w:b/>
          <w:sz w:val="22"/>
        </w:rPr>
        <w:t>评分员利益冲突声明</w:t>
      </w:r>
      <w:r>
        <w:rPr>
          <w:rFonts w:ascii="Times New Roman" w:hAnsi="Times New Roman" w:eastAsia="宋体"/>
          <w:b w:val="0"/>
          <w:sz w:val="22"/>
        </w:rPr>
        <w:t>：3 位评分员均与 Anthropic、OpenAI 及其他 LLM 提供商无商业、科研或咨询关系，亦未就本研究接受上述机构的资金或实物资助。</w:t>
      </w:r>
      <w:r>
        <w:rPr>
          <w:rFonts w:ascii="Times New Roman" w:hAnsi="Times New Roman" w:eastAsia="宋体"/>
          <w:b/>
          <w:sz w:val="22"/>
        </w:rPr>
        <w:t>评分前校准</w:t>
      </w:r>
      <w:r>
        <w:rPr>
          <w:rFonts w:ascii="Times New Roman" w:hAnsi="Times New Roman" w:eastAsia="宋体"/>
          <w:b w:val="0"/>
          <w:sz w:val="22"/>
        </w:rPr>
        <w:t>：本研究未开展正式的评分前校准（calibration）会议；3 位评分员仅依据公布的 5 维量规与 ISO/CNAS 标准独立评分。校准缺失作为方法学局限已在 §4.5 (xii) 中说明。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盲法实施程序</w:t>
      </w:r>
      <w:r>
        <w:rPr>
          <w:rFonts w:ascii="Times New Roman" w:hAnsi="Times New Roman" w:eastAsia="宋体"/>
          <w:b w:val="0"/>
          <w:sz w:val="22"/>
        </w:rPr>
        <w:t>：盲法按 4 层实施（脚本 prepare_blind_review.py）：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*文件重命名*：每份抽样文件从原路径 outputs/{group}/{group}-{task}-{rep}.md 复制到扁平结构 paper_01.md … paper_10.md；文件名与目录结构均去除组名与重复编号。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*正文去标识自检*：自动文本扫描确认 10 份盲化文件正文中无任何模型标识（"Claude"、"GPT"、"Opus"）或配置组关键词（"H4"、"C_full"、"G_template"、"F_template"、"H2_keep"、"E_rules"、"A_bare"、"H3_skeleton"），保证专家无法从正文推断模型/配置来源。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*顺序随机化*：原（group, task, rep）三元组到 paper_01–paper_10 的分配采用固定 Python 随机种子（seed=42）打乱；三位专家看到的顺序完全相同。评分表中仅披露任务类别（如"人员培训与能力评估控制程序"），因其为文件本身固有属性且评分所需；底层配置组仍被隐藏。</w:t>
      </w:r>
    </w:p>
    <w:p>
      <w:pPr>
        <w:pStyle w:val="ListBullet"/>
        <w:spacing w:before="40" w:after="40" w:lineRule="auto" w:line="360"/>
      </w:pPr>
      <w:r>
        <w:rPr>
          <w:rFonts w:ascii="Times New Roman" w:hAnsi="Times New Roman" w:eastAsia="宋体"/>
          <w:b w:val="0"/>
          <w:sz w:val="22"/>
        </w:rPr>
        <w:t>*key 隔离*：（paper_id → group, task, rep）映射文件 blind_review/key.json 在评分前封存，全部三份评分表提交后方开启。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组间成对比较采用双侧 Mann-Whitney U 检验（scipy.stats.mannwhitneyu），针对 per-paper GPT 评审评分（每组 n=45，对应 15 任务 × 3 重复）。四因子消融的多重比较校正采用 Benjamini-Hochberg 错误发现率（FDR）方法（statsmodels.stats.multitest.multipletests，method='fdr_bh'，α=0.05）；考虑到 4 对比的探索性 ablation 性质，选择 BH 而非更严格的 Bonferroni。4 个配置成分效应在正交替换设计下采用靶向配置对计算：规则 = E_rules_v2 vs A_bare；骨架 = H4_sop_only vs E_rules_v2；详细内容 = G_template_rules vs H3_skeleton；示例 = H2_keep_examples vs G_template_rules。每个效应 Δ 定义为</w:t>
      </w:r>
      <w:r>
        <w:rPr>
          <w:rFonts w:ascii="Times New Roman" w:hAnsi="Times New Roman" w:eastAsia="宋体"/>
          <w:b/>
          <w:sz w:val="22"/>
        </w:rPr>
        <w:t>简单算术均值差</w:t>
      </w:r>
      <w:r>
        <w:rPr>
          <w:rFonts w:ascii="Times New Roman" w:hAnsi="Times New Roman" w:eastAsia="宋体"/>
          <w:b w:val="0"/>
          <w:sz w:val="22"/>
        </w:rPr>
        <w:t>：Δ = mean(组 B) − mean(组 A)，其中各组均值为该配置下 45 条 per-paper GPT 评审评分的非加权算术平均；未加入任何协变量、随机效应、加权或收缩。同样的每组 45 个样本同时用作对应 Mann-Whitney U 检验的输入。本研究未采用 L9 正交表主效应估计、最小二乘均值（least-squares means）或混合效应（mixed-effects）模型。评分者间一致性采用 3 类互补指标评价：Pearson 相关系数捕捉线性关联同时容许评分者间系统性偏移；Spearman 相关系数评估排序一致性而不假设线性；组内相关系数（ICC）在标准 reliability 框架下定量。三者并报以完整呈现评分者间模式。所采用的 4 种 ICC 变体由 Shrout 与 Fleiss [13] 定义：</w:t>
      </w:r>
      <w:r>
        <w:rPr>
          <w:rFonts w:ascii="Times New Roman" w:hAnsi="Times New Roman" w:eastAsia="宋体"/>
          <w:b/>
          <w:sz w:val="22"/>
        </w:rPr>
        <w:t>ICC(2,1)</w:t>
      </w:r>
      <w:r>
        <w:rPr>
          <w:rFonts w:ascii="Times New Roman" w:hAnsi="Times New Roman" w:eastAsia="宋体"/>
          <w:b w:val="0"/>
          <w:sz w:val="22"/>
        </w:rPr>
        <w:t xml:space="preserve">（单评分者绝对一致性，双向随机效应）与 </w:t>
      </w:r>
      <w:r>
        <w:rPr>
          <w:rFonts w:ascii="Times New Roman" w:hAnsi="Times New Roman" w:eastAsia="宋体"/>
          <w:b/>
          <w:sz w:val="22"/>
        </w:rPr>
        <w:t>ICC(3,1)</w:t>
      </w:r>
      <w:r>
        <w:rPr>
          <w:rFonts w:ascii="Times New Roman" w:hAnsi="Times New Roman" w:eastAsia="宋体"/>
          <w:b w:val="0"/>
          <w:sz w:val="22"/>
        </w:rPr>
        <w:t>（单评分者排序一致性，双向混合效应）用于两两比较（如专家均值 vs LLM 评审，以及专家组内两两比较）；</w:t>
      </w:r>
      <w:r>
        <w:rPr>
          <w:rFonts w:ascii="Times New Roman" w:hAnsi="Times New Roman" w:eastAsia="宋体"/>
          <w:b/>
          <w:sz w:val="22"/>
        </w:rPr>
        <w:t>ICC(2,k)</w:t>
      </w:r>
      <w:r>
        <w:rPr>
          <w:rFonts w:ascii="Times New Roman" w:hAnsi="Times New Roman" w:eastAsia="宋体"/>
          <w:b w:val="0"/>
          <w:sz w:val="22"/>
        </w:rPr>
        <w:t xml:space="preserve"> 与 </w:t>
      </w:r>
      <w:r>
        <w:rPr>
          <w:rFonts w:ascii="Times New Roman" w:hAnsi="Times New Roman" w:eastAsia="宋体"/>
          <w:b/>
          <w:sz w:val="22"/>
        </w:rPr>
        <w:t>ICC(3,k)</w:t>
      </w:r>
      <w:r>
        <w:rPr>
          <w:rFonts w:ascii="Times New Roman" w:hAnsi="Times New Roman" w:eastAsia="宋体"/>
          <w:b w:val="0"/>
          <w:sz w:val="22"/>
        </w:rPr>
        <w:t>——对应 *k 评分者均值* 可靠度变体，k=3——用于评估三专家组的整体可靠度。ICC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 个消融效应同时报告 raw 与 Benjamini-Hochberg 校正后 p 值。规则层是 4 因子中唯一在校正后仍达到显著的主效应（Δ=+0.511；raw p&lt;0.001；BH-adjusted p&lt;0.001）。骨架层（Δ=+0.213；raw p=0.055；BH-adjusted p=0.11）方向为正，但经多重比较校正后未达到 0.05 阈值；本研究将其作为提示性证据，需进一步验证。详细内容（G vs H3：Δ=−0.031；raw p=0.79；BH-adjusted p=0.79）与示例（H2 vs G：Δ=−0.053；raw p=0.46；BH-adjusted p=0.61）无统计学贡献。H4 与 H3 差异不显著（Δ=−0.009，raw p=0.80；该对比为描述性，不属于 4 因子 BH 集合，故报告未校正值），提示任务特定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429717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2_2x2_symmetric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42971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2705782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3_expert_vs_ll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27057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= expert − LLM-judges mean，分别为 −1.00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00" w:after="80" w:lineRule="auto" w:line="240"/>
        <w:jc w:val="center"/>
      </w:pPr>
      <w:r>
        <w:drawing>
          <wp:inline xmlns:a="http://schemas.openxmlformats.org/drawingml/2006/main" xmlns:pic="http://schemas.openxmlformats.org/drawingml/2006/picture">
            <wp:extent cx="5040000" cy="3066506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_token_vs_quality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040000" cy="30665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评审层的四因子消融得出一个简洁结论：规则层必需（BH-adjusted p&lt;0.001），骨架层方向为正但经多重比较校正后未达显著（BH-adjusted p=0.11），详细内容与示例无贡献。此结论与 lost-in-the-middle 理论 [3] 及 prompt 精简化实践 [12] 一致。然而专家层分析推翻了这一简化：详细内容（F 与 G 的完整模板）显著提升临床可用性（F 4.24 vs H4 3.20，差距达 1.04），原因在于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均完整公开。(xi) 评审员内部一致性未评估：每个 LLM 评审员对每份文件仅打分 1 次，未要求评审员对子集重复打分以量化评审员内部方差。评审员之间的一致性已通过 Claude 与 GPT 评审的 2×2 跨比较及 3 位专家 ICC 分析进行评价。(xii) 未开展评分前专家校准：3 位评分员仅依据公布的 5 维度量规与 ISO 15189:2022 / CNAS-CL02:2023 标准独立评分，未事先开展校准会议（即由 3 位评分员先共同评分若干示例文件以对齐解读）。3 位专家间极高的 ICC(2,k)=0.982 表明在本单位语境下量规已足够自解释，但在未来多中心研究中加入正式校准步骤将有助于增强可重复性。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