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~0.47 points higher than GPT-generated outputs (Panickssery: +0.46 Claude, −0.47 GPT), a pattern incompatible with classical self-preference and persistent across configurations.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+0.294 (Claude) and −0.301 (GPT), preserving the sign and direction of the classical estimates (+0.464 and −0.472)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+0.464 on the 0–5 Likert scale (positive in 8 of 9 configurations, with E_rules_v2 exactly zero; the largest single-configuration value, +1.333, occurred at C_full). The mean bias of the GPT judge was −0.472 (negative in 8 of 9 configurations, with the only positive value occurring at C_full, +0.444). The two judges therefore agreed in direction: across configurations, both effectively rated Claude-generated outputs approximately 0.47 points higher than GPT-generated outputs, despite using nominally opposite-signed self-preference indices. Excluding C_full, the Claude-judge mean bias falls modestly to +0.355 (median across the nine configurations: +0.511) and the GPT-judge mean bias deepens to −0.586 (median: −0.600), indicating that the cross-judge directional pattern persists across the remaining eight configurations and is not driven exclusively by the long-context failure mode at C_full.</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supported both by the persistence of the directional pattern across 8 of 9 configurations and by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0.47 points higher than GPT-generated outputs on the 0–5 Likert scale (Panickssery classical estimates: +0.46 for the Claude judge and −0.47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