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bootstrap 95% CI (0.28, 0.75); BH-adjusted p &lt; 0.001]. The full-context C_full (~56,000 tokens) scored 3.22–4.56 with Claude but only 1.40–1.84 with GPT-5.4. Both judges rated Claude-generated outputs ~0.3 points higher (Panickssery self-preference index: +0.29 Claude, −0.30 GPT), an effect concentrated at C_full and incompatible with classical self-preference. Within-institution expert agreement was excellent [ICC(2,k) = 0.982]; judge–expert agreement was at best moderate [ICC(3,1) = 0.548 vs 0.217], with wide confidence intervals crossing zero, and both judges overestimated expert scores by 0.52–0.90 points. The LLM-favored H4_sop_only fell to fifth of seven under expert review, whereas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80" w:after="80" w:lineRule="auto" w:line="360"/>
        <w:ind w:firstLine="0"/>
        <w:jc w:val="both"/>
      </w:pPr>
      <w:r>
        <w:rPr>
          <w:rFonts w:ascii="Times New Roman" w:hAnsi="Times New Roman" w:eastAsia="宋体"/>
          <w:b/>
          <w:i w:val="0"/>
          <w:sz w:val="24"/>
        </w:rPr>
        <w:t>Keywords</w:t>
      </w:r>
      <w:r>
        <w:rPr>
          <w:rFonts w:ascii="Times New Roman" w:hAnsi="Times New Roman" w:eastAsia="宋体"/>
          <w:b w:val="0"/>
          <w:i w:val="0"/>
          <w:sz w:val="24"/>
        </w:rPr>
        <w:t>: accreditation; artificial intelligence; inter-rater reliability; large language models; medical laboratory</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10.5281/zenodo.20091463; https://doi.org/10.5281/zenodo.20091463).</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~7900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