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prompt configuration for LLM-assisted ISO 15189 QMS document generation depends on the evaluation tier. Minimal-prompt configurations (H4_sop_only or E_rules_v2; ~1,000–2,000 tokens) are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particularly under GPT-5.4 generation. LLM-as-judge methods may serve as a first-pass screening tool: the Claude judge [ICC(3,1) = 0.548] may be used as a cautious proxy, whereas the GPT-5.4 judge [ICC(3,1) = 0.217] was unsuitable. Expert final review remains indispensable for any document intended for accreditation submission, formal QMS adoption, or operational deployment.</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plotted for the n = 10 expert-blinded subset (seven configurations; per-stratum n = 1 or 2). Horizontal axis: token count on a symlog scale (cl100k_base). All three curves use the same matched samples: solid green line (squares), three-rater expert mean; solid red line (circles), Claude Opus 4.6 judge × Claude-generated outputs; solid blue line (triangles), GPT-5.4 judge × Claude-generated outputs. Orange-shaded band: token-efficient optimum identified by the LLM-judge tier (H4_sop_only / H3_skeleton). Green-shaded band: expert-judged clinical-usability optimum (F_template / G_template_rules). Error bars omitted because per-stratum n = 1–2; a Bland–Altman-style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