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lineRule="auto" w:line="360"/>
        <w:jc w:val="center"/>
      </w:pPr>
      <w:r>
        <w:rPr>
          <w:rFonts w:ascii="Times New Roman" w:hAnsi="Times New Roman" w:eastAsia="宋体"/>
          <w:b/>
          <w:i w:val="0"/>
          <w:sz w:val="30"/>
        </w:rPr>
        <w:t>LLM 辅助起草 ISO 15189 质量管理体系文件的评估：prompt 配置、LLM-as-judge 偏差与探索性专家验证</w:t>
      </w:r>
    </w:p>
    <w:p>
      <w:pPr>
        <w:spacing w:before="80" w:after="80" w:lineRule="auto" w:line="360"/>
        <w:ind w:firstLine="0"/>
        <w:jc w:val="both"/>
      </w:pPr>
      <w:r>
        <w:rPr>
          <w:rFonts w:ascii="Times New Roman" w:hAnsi="Times New Roman" w:eastAsia="宋体"/>
          <w:b/>
          <w:i w:val="0"/>
          <w:sz w:val="24"/>
        </w:rPr>
        <w:t>作者：</w:t>
      </w:r>
      <w:r>
        <w:rPr>
          <w:rFonts w:ascii="Times New Roman" w:hAnsi="Times New Roman" w:eastAsia="宋体"/>
          <w:b w:val="0"/>
          <w:i w:val="0"/>
          <w:sz w:val="24"/>
        </w:rPr>
        <w:t>刘斯迪（Sidi Liu）</w:t>
      </w:r>
      <w:r>
        <w:rPr>
          <w:rFonts w:ascii="Times New Roman" w:hAnsi="Times New Roman" w:eastAsia="宋体"/>
          <w:b w:val="0"/>
          <w:i w:val="0"/>
          <w:sz w:val="24"/>
          <w:vertAlign w:val="superscript"/>
        </w:rPr>
        <w:t>1</w:t>
      </w:r>
      <w:r>
        <w:rPr>
          <w:rFonts w:ascii="Times New Roman" w:hAnsi="Times New Roman" w:eastAsia="宋体"/>
          <w:b w:val="0"/>
          <w:i w:val="0"/>
          <w:sz w:val="24"/>
        </w:rPr>
        <w:t>、杨岚（Lan Yang）</w:t>
      </w:r>
      <w:r>
        <w:rPr>
          <w:rFonts w:ascii="Times New Roman" w:hAnsi="Times New Roman" w:eastAsia="宋体"/>
          <w:b w:val="0"/>
          <w:i w:val="0"/>
          <w:sz w:val="24"/>
          <w:vertAlign w:val="superscript"/>
        </w:rPr>
        <w:t>1</w:t>
      </w:r>
      <w:r>
        <w:rPr>
          <w:rFonts w:ascii="Times New Roman" w:hAnsi="Times New Roman" w:eastAsia="宋体"/>
          <w:b w:val="0"/>
          <w:i w:val="0"/>
          <w:sz w:val="24"/>
        </w:rPr>
        <w:t>、陈欣盈（Xinying Chen）</w:t>
      </w:r>
      <w:r>
        <w:rPr>
          <w:rFonts w:ascii="Times New Roman" w:hAnsi="Times New Roman" w:eastAsia="宋体"/>
          <w:b w:val="0"/>
          <w:i w:val="0"/>
          <w:sz w:val="24"/>
          <w:vertAlign w:val="superscript"/>
        </w:rPr>
        <w:t>1</w:t>
      </w:r>
      <w:r>
        <w:rPr>
          <w:rFonts w:ascii="Times New Roman" w:hAnsi="Times New Roman" w:eastAsia="宋体"/>
          <w:b w:val="0"/>
          <w:i w:val="0"/>
          <w:sz w:val="24"/>
        </w:rPr>
        <w:t>、吴丹（Dan Wu）</w:t>
      </w:r>
      <w:r>
        <w:rPr>
          <w:rFonts w:ascii="Times New Roman" w:hAnsi="Times New Roman" w:eastAsia="宋体"/>
          <w:b w:val="0"/>
          <w:i w:val="0"/>
          <w:sz w:val="24"/>
          <w:vertAlign w:val="superscript"/>
        </w:rPr>
        <w:t>1</w:t>
      </w:r>
      <w:r>
        <w:rPr>
          <w:rFonts w:ascii="Times New Roman" w:hAnsi="Times New Roman" w:eastAsia="宋体"/>
          <w:b w:val="0"/>
          <w:i w:val="0"/>
          <w:sz w:val="24"/>
        </w:rPr>
        <w:t>、李冬冬（Dongdong Li）</w:t>
      </w:r>
      <w:r>
        <w:rPr>
          <w:rFonts w:ascii="Times New Roman" w:hAnsi="Times New Roman" w:eastAsia="宋体"/>
          <w:b w:val="0"/>
          <w:i w:val="0"/>
          <w:sz w:val="24"/>
          <w:vertAlign w:val="superscript"/>
        </w:rPr>
        <w:t>2,3,*</w:t>
      </w:r>
    </w:p>
    <w:p>
      <w:pPr>
        <w:spacing w:before="80" w:after="80" w:lineRule="auto" w:line="360"/>
        <w:ind w:firstLine="0"/>
        <w:jc w:val="both"/>
      </w:pPr>
      <w:r>
        <w:rPr>
          <w:rFonts w:ascii="Times New Roman" w:hAnsi="Times New Roman" w:eastAsia="宋体"/>
          <w:b/>
          <w:i w:val="0"/>
          <w:sz w:val="24"/>
        </w:rPr>
        <w:t>单位</w:t>
      </w:r>
      <w:r>
        <w:rPr>
          <w:rFonts w:ascii="Times New Roman" w:hAnsi="Times New Roman" w:eastAsia="宋体"/>
          <w:b w:val="0"/>
          <w:i w:val="0"/>
          <w:sz w:val="24"/>
        </w:rPr>
        <w:t>：¹ 四川大学华西厦门医院检验科，福建厦门 361024，中国；² 四川大学华西医院实验医学科，四川成都 610041，中国；³ 四川省检验医学临床医学研究中心，四川成都 610041，中国</w:t>
      </w:r>
    </w:p>
    <w:p>
      <w:pPr>
        <w:spacing w:before="80" w:after="80" w:lineRule="auto" w:line="360"/>
        <w:ind w:firstLine="0"/>
        <w:jc w:val="both"/>
      </w:pPr>
      <w:r>
        <w:rPr>
          <w:rFonts w:ascii="Times New Roman" w:hAnsi="Times New Roman" w:eastAsia="宋体"/>
          <w:b/>
          <w:i w:val="0"/>
          <w:sz w:val="24"/>
        </w:rPr>
        <w:t>通讯作者</w:t>
      </w:r>
      <w:r>
        <w:rPr>
          <w:rFonts w:ascii="Times New Roman" w:hAnsi="Times New Roman" w:eastAsia="宋体"/>
          <w:b w:val="0"/>
          <w:i w:val="0"/>
          <w:sz w:val="24"/>
        </w:rPr>
        <w:t>：*李冬冬（Dongdong Li），四川大学华西医院实验医学科、四川省检验医学临床医学研究中心；邮箱 jiangxili1219@163.com；ORCID https://orcid.org/0000-0002-0290-6485</w:t>
      </w:r>
    </w:p>
    <w:p>
      <w:pPr>
        <w:spacing w:before="80" w:after="80" w:lineRule="auto" w:line="360"/>
        <w:ind w:firstLine="0"/>
        <w:jc w:val="both"/>
      </w:pPr>
      <w:r>
        <w:rPr>
          <w:rFonts w:ascii="Times New Roman" w:hAnsi="Times New Roman" w:eastAsia="宋体"/>
          <w:b/>
          <w:i w:val="0"/>
          <w:sz w:val="24"/>
        </w:rPr>
        <w:t>ORCID</w:t>
      </w:r>
      <w:r>
        <w:rPr>
          <w:rFonts w:ascii="Times New Roman" w:hAnsi="Times New Roman" w:eastAsia="宋体"/>
          <w:b w:val="0"/>
          <w:i w:val="0"/>
          <w:sz w:val="24"/>
        </w:rPr>
        <w:t>：刘斯迪 0009-0006-1695-5372；李冬冬 0000-0002-0290-6485</w:t>
      </w:r>
    </w:p>
    <w:p>
      <w:pPr>
        <w:spacing w:before="80" w:after="80" w:lineRule="auto" w:line="360"/>
        <w:ind w:firstLine="0"/>
        <w:jc w:val="both"/>
      </w:pPr>
      <w:r>
        <w:rPr>
          <w:rFonts w:ascii="Times New Roman" w:hAnsi="Times New Roman" w:eastAsia="宋体"/>
          <w:b/>
          <w:i w:val="0"/>
          <w:sz w:val="24"/>
        </w:rPr>
        <w:t>Short title</w:t>
      </w:r>
      <w:r>
        <w:rPr>
          <w:rFonts w:ascii="Times New Roman" w:hAnsi="Times New Roman" w:eastAsia="宋体"/>
          <w:b w:val="0"/>
          <w:i w:val="0"/>
          <w:sz w:val="24"/>
        </w:rPr>
        <w:t>：Prompt configuration and LLM-as-judge bias in ISO 15189 drafting</w:t>
      </w:r>
    </w:p>
    <w:p>
      <w:pPr>
        <w:spacing w:before="280" w:after="120" w:lineRule="auto" w:line="360"/>
        <w:jc w:val="left"/>
      </w:pPr>
      <w:r>
        <w:rPr>
          <w:rFonts w:ascii="Times New Roman" w:hAnsi="Times New Roman" w:eastAsia="宋体"/>
          <w:b/>
          <w:i w:val="0"/>
          <w:sz w:val="24"/>
        </w:rPr>
        <w:t>摘要</w:t>
      </w:r>
    </w:p>
    <w:p>
      <w:pPr>
        <w:spacing w:before="80" w:after="80" w:lineRule="auto" w:line="360"/>
        <w:ind w:firstLine="0"/>
        <w:jc w:val="both"/>
      </w:pPr>
      <w:r>
        <w:rPr>
          <w:rFonts w:ascii="Times New Roman" w:hAnsi="Times New Roman" w:eastAsia="宋体"/>
          <w:b/>
          <w:i w:val="0"/>
          <w:sz w:val="24"/>
        </w:rPr>
        <w:t>Objectives</w:t>
      </w:r>
      <w:r>
        <w:rPr>
          <w:rFonts w:ascii="Times New Roman" w:hAnsi="Times New Roman" w:eastAsia="宋体"/>
          <w:b w:val="0"/>
          <w:i w:val="0"/>
          <w:sz w:val="24"/>
        </w:rPr>
        <w:t>：评估大语言模型（LLM）辅助起草的 ISO 15189:2022 质量管理体系（QMS）文件的合规性。</w:t>
      </w:r>
    </w:p>
    <w:p>
      <w:pPr>
        <w:spacing w:before="80" w:after="80" w:lineRule="auto" w:line="360"/>
        <w:ind w:firstLine="0"/>
        <w:jc w:val="both"/>
      </w:pPr>
      <w:r>
        <w:rPr>
          <w:rFonts w:ascii="Times New Roman" w:hAnsi="Times New Roman" w:eastAsia="宋体"/>
          <w:b/>
          <w:i w:val="0"/>
          <w:sz w:val="24"/>
        </w:rPr>
        <w:t>Methods</w:t>
      </w:r>
      <w:r>
        <w:rPr>
          <w:rFonts w:ascii="Times New Roman" w:hAnsi="Times New Roman" w:eastAsia="宋体"/>
          <w:b w:val="0"/>
          <w:i w:val="0"/>
          <w:sz w:val="24"/>
        </w:rPr>
        <w:t>：我们使用 Claude Opus 4.6（405 份）与 GPT-5.4（81 份）在 9 个 prompt 配置下共生成 486 份 QMS 文件，配置涵盖 4 个内容成分（规则、文档骨架、详细内容、worked examples；0–56,000 tokens）。合规性按 0–5 分在三层评估：自动化评分器、两位 LLM 评判者（864 条评分）、以及 3 位 ISO 15189 内审员对 10 份抽样文件的盲法评审。消融效应用 Mann–Whitney U 检验配合 BH 校正与 bootstrap 95% CI；一致性用 ICC。</w:t>
      </w:r>
    </w:p>
    <w:p>
      <w:pPr>
        <w:spacing w:before="80" w:after="80" w:lineRule="auto" w:line="360"/>
        <w:ind w:firstLine="0"/>
        <w:jc w:val="both"/>
      </w:pPr>
      <w:r>
        <w:rPr>
          <w:rFonts w:ascii="Times New Roman" w:hAnsi="Times New Roman" w:eastAsia="宋体"/>
          <w:b/>
          <w:i w:val="0"/>
          <w:sz w:val="24"/>
        </w:rPr>
        <w:t>Results</w:t>
      </w:r>
      <w:r>
        <w:rPr>
          <w:rFonts w:ascii="Times New Roman" w:hAnsi="Times New Roman" w:eastAsia="宋体"/>
          <w:b w:val="0"/>
          <w:i w:val="0"/>
          <w:sz w:val="24"/>
        </w:rPr>
        <w:t>：在 LLM 评判者层，只有“规则”成分显著提高合规分［Δ=0.511，bootstrap 95% CI（0.28, 0.75）；BH-adjusted p&lt;0.001］。全量上下文配置 C_full（~56,000 tokens）在 Claude 下评分 3.22–4.56，在 GPT-5.4 下仅 1.40–1.84。两位评判者都把 Claude 生成的输出评得高约 0.3 分（Panickssery 自我偏好指数：Claude +0.29、GPT −0.30），该效应集中于 C_full，与经典自我偏好不符。同单位专家间一致性极佳［ICC(2,k)=0.982］；评判者与专家一致性至多中等［ICC(3,1)=0.548 vs 0.217］，置信区间宽且跨过 0，两位评判者把专家评分高估 0.52–0.90 分。LLM 偏好的 H4_sop_only 在专家评估下跌至 7 配置中的第 5 名，带完整文档模板的配置排名最高（4.06–4.24）。</w:t>
      </w:r>
    </w:p>
    <w:p>
      <w:pPr>
        <w:spacing w:before="80" w:after="80" w:lineRule="auto" w:line="360"/>
        <w:ind w:firstLine="0"/>
        <w:jc w:val="both"/>
      </w:pPr>
      <w:r>
        <w:rPr>
          <w:rFonts w:ascii="Times New Roman" w:hAnsi="Times New Roman" w:eastAsia="宋体"/>
          <w:b/>
          <w:i w:val="0"/>
          <w:sz w:val="24"/>
        </w:rPr>
        <w:t>Conclusions</w:t>
      </w:r>
      <w:r>
        <w:rPr>
          <w:rFonts w:ascii="Times New Roman" w:hAnsi="Times New Roman" w:eastAsia="宋体"/>
          <w:b w:val="0"/>
          <w:i w:val="0"/>
          <w:sz w:val="24"/>
        </w:rPr>
        <w:t>：最优配置因评估层级而异：极简 prompt（~1,000–2,000 tokens）较适合需后续人工把关的探索性草稿；对于拟提交认可的文件，带完整文档模板的 prompt（~15,000–16,000 tokens）往往表现更好；C_full 在 GPT-5.4 下表现明显下降、宜谨慎使用——此项基于 3 个任务、未经专家层验证，属初步观察。LLM-as-judge 可用于初筛，但专家终审仍不可或缺。</w:t>
      </w:r>
    </w:p>
    <w:p>
      <w:pPr>
        <w:spacing w:before="280" w:after="120" w:lineRule="auto" w:line="360"/>
        <w:jc w:val="left"/>
      </w:pPr>
      <w:r>
        <w:rPr>
          <w:rFonts w:ascii="Times New Roman" w:hAnsi="Times New Roman" w:eastAsia="宋体"/>
          <w:b/>
          <w:i w:val="0"/>
          <w:sz w:val="24"/>
        </w:rPr>
        <w:t>1. Introduction</w:t>
      </w:r>
    </w:p>
    <w:p>
      <w:pPr>
        <w:spacing w:before="80" w:after="80" w:lineRule="auto" w:line="360"/>
        <w:ind w:firstLine="0"/>
        <w:jc w:val="both"/>
      </w:pPr>
      <w:r>
        <w:rPr>
          <w:rFonts w:ascii="Times New Roman" w:hAnsi="Times New Roman" w:eastAsia="宋体"/>
          <w:b w:val="0"/>
          <w:i w:val="0"/>
          <w:sz w:val="24"/>
        </w:rPr>
        <w:t>ISO 15189:2022《医学实验室——质量和能力的要求》[1] 是医学实验室认可的国际标准。在中国，医学实验室对该标准的采用持续推进 [2]。配套的国内实施文本为 CNAS-CL02:2023，由中国合格评定国家认可委员会（CNAS）发布。这类标准规定实验室要达到什么，但并不详细规定每家实验室应如何实施所需的过程。因此，每家实验室都必须自建一套质量管理体系（quality management system, QMS）文件，包含质量手册、程序文件、标准操作规程，以及相关的记录与表单。根据第一作者作为 ISO 15189 内审员的经验，三级甲等医院检验科的此类体系通常有 100–300 份受控文件，涉及结构组织、条款–文件映射、表单编号与职责分配；由内部质量小组撰写往往需时数月，再经多轮内审方可定稿。寻求 CNAS 认可的实验室通常会聘请外部技术专家或培训师协助。</w:t>
      </w:r>
    </w:p>
    <w:p>
      <w:pPr>
        <w:spacing w:before="80" w:after="80" w:lineRule="auto" w:line="360"/>
        <w:ind w:firstLine="0"/>
        <w:jc w:val="both"/>
      </w:pPr>
      <w:r>
        <w:rPr>
          <w:rFonts w:ascii="Times New Roman" w:hAnsi="Times New Roman" w:eastAsia="宋体"/>
          <w:b w:val="0"/>
          <w:i w:val="0"/>
          <w:sz w:val="24"/>
        </w:rPr>
        <w:t>大语言模型（large language models, LLMs）有望通过生成结构化的质量管理文件初稿，减少这部分工作量。Claude Opus 4.6、GPT-5.4 等前沿模型在长文档生成、结构化输出和专业术语使用上的能力不断提升 [3, 4]。但要用什么样的 prompt 才能生成既合规又可操作的 ISO 15189 质量管理文件，目前仍不清楚。实践中常用两大类 prompt 策略。第一类是“全量上下文”策略：把所有可能相关的材料——例如 ISO 与 CNAS 标准、既有的标准操作规程、模板与 worked examples——都载入 system prompt；这种做法可能使 prompt 超过 50,000 至 100,000 tokens。第二类是“极简 prompt”策略：只提供提炼后的规则、格式约束或文档骨架，其余内容交由模型依靠预训练知识生成。但两种做法都缺乏充分的研究证据：现有关于 LLM 与 prompting 的综述 [5, 6] 主要面向通用任务，尚未专门针对 QMS 这类专业监管文档做比较。</w:t>
      </w:r>
    </w:p>
    <w:p>
      <w:pPr>
        <w:spacing w:before="80" w:after="80" w:lineRule="auto" w:line="360"/>
        <w:ind w:firstLine="0"/>
        <w:jc w:val="both"/>
      </w:pPr>
      <w:r>
        <w:rPr>
          <w:rFonts w:ascii="Times New Roman" w:hAnsi="Times New Roman" w:eastAsia="宋体"/>
          <w:b w:val="0"/>
          <w:i w:val="0"/>
          <w:sz w:val="24"/>
        </w:rPr>
        <w:t>第二个方法学上的挑战在于评估。现阶段评估 LLM 输出最常用的是 LLM-as-judge——让另一个 LLM 来打分 [7]；此外，针对长文本生成质量的评估方法 [8] 和靠大规模人工投票得出的偏好基准 [9] 也是两类主要做法。有研究发现，LLM 评判者会偏向同家族模型生成的输出（即 self-preference bias）[10]。但这种偏差在医学实验室 QMS 这种专业、受监管的场景下是否出现、如何出现，又会如何影响配置之间的比较，目前仍缺乏实证。</w:t>
      </w:r>
    </w:p>
    <w:p>
      <w:pPr>
        <w:spacing w:before="80" w:after="80" w:lineRule="auto" w:line="360"/>
        <w:ind w:firstLine="0"/>
        <w:jc w:val="both"/>
      </w:pPr>
      <w:r>
        <w:rPr>
          <w:rFonts w:ascii="Times New Roman" w:hAnsi="Times New Roman" w:eastAsia="宋体"/>
          <w:b w:val="0"/>
          <w:i w:val="0"/>
          <w:sz w:val="24"/>
        </w:rPr>
        <w:t>为填补这一空白，本研究生成了 486 份 QMS 文件、收集了 864 条 LLM 评判者评分，并取得 30 条专家盲评评分，围绕以下五个问题展开：(i) 规则、文档骨架、详细内容、worked examples 这四类 prompt 成分，哪一类对合规性贡献最大？(ii) 最少需要多少 token？(iii) 最优配置在 Claude Opus 4.6 与 GPT-5.4 之间是否一致？(iv) 在本领域，LLM 评判者的 self-preference bias 有多大？(v) 哪种配置在自动评分、LLM 评判者评分与专家评分这三层评估下表现稳定？本研究把 LLM 视为起草与初筛的工具，而不是受控质量管理文件的自主撰写者。ISO 15189 文件必须反映实验室经过确认的过程、仪器、职责、工作流程与记录，并由有能力的人员审核与批准。LLM 生成的文件可以作为有用的初稿，但它本身并不是受控文件：它没有机构层面的责任归属，未经与本地实际做法核对，也不能取代专家审核。因此，本研究关注的不是 LLM 能否独立产出可直接用于认可的文件，而是不同 prompt 配置如何影响草稿质量，以及基于 LLM 的评估能在多大程度上可靠反映专家判断。</w:t>
      </w:r>
    </w:p>
    <w:p>
      <w:pPr>
        <w:spacing w:before="280" w:after="120" w:lineRule="auto" w:line="360"/>
        <w:jc w:val="left"/>
      </w:pPr>
      <w:r>
        <w:rPr>
          <w:rFonts w:ascii="Times New Roman" w:hAnsi="Times New Roman" w:eastAsia="宋体"/>
          <w:b/>
          <w:i w:val="0"/>
          <w:sz w:val="24"/>
        </w:rPr>
        <w:t>2. Materials and methods</w:t>
      </w:r>
    </w:p>
    <w:p>
      <w:pPr>
        <w:spacing w:before="200" w:after="80" w:lineRule="auto" w:line="360"/>
        <w:jc w:val="left"/>
      </w:pPr>
      <w:r>
        <w:rPr>
          <w:rFonts w:ascii="Times New Roman" w:hAnsi="Times New Roman" w:eastAsia="宋体"/>
          <w:b/>
          <w:i w:val="0"/>
          <w:sz w:val="24"/>
        </w:rPr>
        <w:t>2.1 配置组设计</w:t>
      </w:r>
    </w:p>
    <w:p>
      <w:pPr>
        <w:spacing w:before="80" w:after="80" w:lineRule="auto" w:line="360"/>
        <w:ind w:firstLine="0"/>
        <w:jc w:val="both"/>
      </w:pPr>
      <w:r>
        <w:rPr>
          <w:rFonts w:ascii="Times New Roman" w:hAnsi="Times New Roman" w:eastAsia="宋体"/>
          <w:b w:val="0"/>
          <w:i w:val="0"/>
          <w:sz w:val="24"/>
        </w:rPr>
        <w:t>我们设计了 9 组 system prompt 配置，各组在四类内容上有所不同：规则、文档骨架、详细内容、worked examples。各配置的内容构成与 token 体量见 Figure 1；用于对比的两组配置只差一类内容，因此比较它们就能单独看出该类内容的作用（第 2.4.2 节）。编号中跳过了字母 D：早期的 D_rules 在配置开发阶段经专家审阅发现术语错误而被弃用，由 E_rules_v2 取代。</w:t>
      </w:r>
    </w:p>
    <w:p>
      <w:pPr>
        <w:spacing w:before="80" w:after="80" w:lineRule="auto" w:line="360"/>
        <w:ind w:firstLine="0"/>
        <w:jc w:val="both"/>
      </w:pPr>
      <w:r>
        <w:rPr>
          <w:rFonts w:ascii="Times New Roman" w:hAnsi="Times New Roman" w:eastAsia="宋体"/>
          <w:b w:val="0"/>
          <w:i w:val="0"/>
          <w:sz w:val="24"/>
        </w:rPr>
        <w:t xml:space="preserve">规则成分是一份 rules.md（~1,200 tokens），经领域专家校验后保留 10 条术语映射（如把“标本”规范为“样品”、把“室间质评”规范为“能力验证”；实际部署的规则文件以中文书写）与 7 类被禁的模糊表述。文档骨架由自定义脚本 </w:t>
      </w:r>
      <w:r>
        <w:rPr>
          <w:rFonts w:ascii="Times New Roman" w:hAnsi="Times New Roman" w:eastAsia="宋体"/>
          <w:b w:val="0"/>
          <w:i/>
          <w:sz w:val="24"/>
        </w:rPr>
        <w:t>strip_to_skeleton</w:t>
      </w:r>
      <w:r>
        <w:rPr>
          <w:rFonts w:ascii="Times New Roman" w:hAnsi="Times New Roman" w:eastAsia="宋体"/>
          <w:b w:val="0"/>
          <w:i w:val="0"/>
          <w:sz w:val="24"/>
        </w:rPr>
        <w:t xml:space="preserve"> 从机构模板中提取，只保留章节标题、各节首段说明与表单编号。文中所有 token 数均用公开的 cl100k_base（OpenAI tiktoken）计算；Claude 自家 tokenizer 不公开，但在中英混合文本上两者相差不到 10%。</w:t>
      </w:r>
    </w:p>
    <w:p>
      <w:pPr>
        <w:spacing w:before="200" w:after="80" w:lineRule="auto" w:line="360"/>
        <w:jc w:val="left"/>
      </w:pPr>
      <w:r>
        <w:rPr>
          <w:rFonts w:ascii="Times New Roman" w:hAnsi="Times New Roman" w:eastAsia="宋体"/>
          <w:b/>
          <w:i w:val="0"/>
          <w:sz w:val="24"/>
        </w:rPr>
        <w:t>2.2 生成模型与任务</w:t>
      </w:r>
    </w:p>
    <w:p>
      <w:pPr>
        <w:spacing w:before="80" w:after="80" w:lineRule="auto" w:line="360"/>
        <w:ind w:firstLine="0"/>
        <w:jc w:val="both"/>
      </w:pPr>
      <w:r>
        <w:rPr>
          <w:rFonts w:ascii="Times New Roman" w:hAnsi="Times New Roman" w:eastAsia="宋体"/>
          <w:b w:val="0"/>
          <w:i w:val="0"/>
          <w:sz w:val="24"/>
        </w:rPr>
        <w:t>主实验采用 Claude Opus 4.6（Anthropic，美国加州 San Francisco），通过 Claude Code Agent 以纯文本模式运行，生成阶段没有任何工具调用，但框架自带的工具定义始终存在于 system prompt 中（第 4.6 节）。9 组配置 × 15 项任务 × 3 次重复，共生成 405 份文件。15 项任务按 CNAS 评审场景分三类、每类 5 项：A 类文件编写、B 类体系运行、C 类审核模拟。完整任务清单及其对应的 ISO 15189:2022 条款见 Supplementary Table S1，原始 prompt 见 GitHub 仓库。这些任务覆盖的是文件控制、内审与管理评审一类的体系文件，不含检验方法确认/验证报告、测量不确定度评定程序等技术类文件（第 4.6 节）。</w:t>
      </w:r>
    </w:p>
    <w:p>
      <w:pPr>
        <w:spacing w:before="80" w:after="80" w:lineRule="auto" w:line="360"/>
        <w:ind w:firstLine="0"/>
        <w:jc w:val="both"/>
      </w:pPr>
      <w:r>
        <w:rPr>
          <w:rFonts w:ascii="Times New Roman" w:hAnsi="Times New Roman" w:eastAsia="宋体"/>
          <w:b w:val="0"/>
          <w:i w:val="0"/>
          <w:sz w:val="24"/>
        </w:rPr>
        <w:t>跨模型验证采用 GPT-5.4（OpenAI，美国加州 San Francisco），经官方 openai Python SDK（v2.30.0）调用；因研究期间作者所在地区无法直接访问 OpenAI API，base URL 改指向 AIHubMix 端点。为控制 API 成本，GPT-5.4 的生成只覆盖每类的第一项任务（A1、B1、C1，并非随机抽取），在相同的 9 组配置下各重复 3 次，共生成 81 份文件。</w:t>
      </w:r>
    </w:p>
    <w:p>
      <w:pPr>
        <w:spacing w:before="80" w:after="80" w:lineRule="auto" w:line="360"/>
        <w:ind w:firstLine="0"/>
        <w:jc w:val="both"/>
      </w:pPr>
      <w:r>
        <w:rPr>
          <w:rFonts w:ascii="Times New Roman" w:hAnsi="Times New Roman" w:eastAsia="宋体"/>
          <w:b w:val="0"/>
          <w:i w:val="0"/>
          <w:sz w:val="24"/>
        </w:rPr>
        <w:t>两模型接收完全相同的 system prompt，但生成参数并不一致：Claude 经 Claude Code Agent 运行，该框架不暴露 temperature 与 max_tokens，本研究未显式设定；GPT-5.4 显式设定 temperature = 0.7、max_completion_tokens = 16,000。两种设置都带随机性，故每种组合重复 3 次；参数不一致对跨模型比较的影响见第 4.6 节。所有 API 调用在 2026 年 4 月 2 日至 14 日之间完成。</w:t>
      </w:r>
    </w:p>
    <w:p>
      <w:pPr>
        <w:spacing w:before="200" w:after="80" w:lineRule="auto" w:line="360"/>
        <w:jc w:val="left"/>
      </w:pPr>
      <w:r>
        <w:rPr>
          <w:rFonts w:ascii="Times New Roman" w:hAnsi="Times New Roman" w:eastAsia="宋体"/>
          <w:b/>
          <w:i w:val="0"/>
          <w:sz w:val="24"/>
        </w:rPr>
        <w:t>2.3 三层评估框架</w:t>
      </w:r>
    </w:p>
    <w:p>
      <w:pPr>
        <w:spacing w:before="80" w:after="80" w:lineRule="auto" w:line="360"/>
        <w:ind w:firstLine="0"/>
        <w:jc w:val="both"/>
      </w:pPr>
      <w:r>
        <w:rPr>
          <w:rFonts w:ascii="Times New Roman" w:hAnsi="Times New Roman" w:eastAsia="宋体"/>
          <w:b w:val="0"/>
          <w:i w:val="0"/>
          <w:sz w:val="24"/>
        </w:rPr>
        <w:t>我们用三层互补的框架评估合规性，三层均按 0–5 分评分：基于规则的自动评分器（Tier 1）、两位 LLM 评判者（Tier 2a、2b）、以及独立的盲法专家评审（Tier 3）。Tier 1 只度量代码能客观检测的结构性特征；Tier 2 和 Tier 3 共用 Table 1 的五维度评分量规——条款满足度、可操作性、内部一致性、PDCA 闭环、专业深度。</w:t>
      </w:r>
    </w:p>
    <w:p>
      <w:pPr>
        <w:spacing w:before="160" w:after="40" w:lineRule="auto" w:line="360"/>
        <w:jc w:val="left"/>
      </w:pPr>
      <w:r>
        <w:rPr>
          <w:rFonts w:ascii="Times New Roman" w:hAnsi="Times New Roman" w:eastAsia="宋体"/>
          <w:b/>
          <w:i w:val="0"/>
          <w:sz w:val="24"/>
        </w:rPr>
        <w:t>2.3.1 Tier 1 – 结构性合规的自动评分</w:t>
      </w:r>
    </w:p>
    <w:p>
      <w:pPr>
        <w:spacing w:before="80" w:after="80" w:lineRule="auto" w:line="360"/>
        <w:ind w:firstLine="0"/>
        <w:jc w:val="both"/>
      </w:pPr>
      <w:r>
        <w:rPr>
          <w:rFonts w:ascii="Times New Roman" w:hAnsi="Times New Roman" w:eastAsia="宋体"/>
          <w:b w:val="0"/>
          <w:i w:val="0"/>
          <w:sz w:val="24"/>
        </w:rPr>
        <w:t>自动评分器（auto_scorer.py，已开源）对全部 486 份文件按三个维度打分：格式（是否含任务类别要求的必需章节、编号层级与非空内容）、条款覆盖（正则匹配 ISO 15189:2022 第 4–8 章与 CNAS-CL02:2023 的条款号）、术语合规（对照经 ISO 15189/CNAS 校验的术语表找出非首选用语，并检出“及时”“相关人员”等无法执行的模糊表述）。三者按权重合成一个综合分（auto_weighted；格式 0.18、条款覆盖 0.22、术语 0.13），第 3 节 的 Tier 1 排序据此得出。这三个权重取自开源评分器中一套七维先验权重方案（总和为 1）的对应项，本层只计算其中三个规则可判的维度；由于该综合分仅用于相对排名、且经 min-max 归一化（第 3.1 节），保留权重之和为 0.53 不影响任何结果。</w:t>
      </w:r>
    </w:p>
    <w:p>
      <w:pPr>
        <w:spacing w:before="80" w:after="80" w:lineRule="auto" w:line="360"/>
        <w:ind w:firstLine="0"/>
        <w:jc w:val="both"/>
      </w:pPr>
      <w:r>
        <w:rPr>
          <w:rFonts w:ascii="Times New Roman" w:hAnsi="Times New Roman" w:eastAsia="宋体"/>
          <w:b w:val="0"/>
          <w:i w:val="0"/>
          <w:sz w:val="24"/>
        </w:rPr>
        <w:t>本层只度量结构性合规。其中条款覆盖只看文件引用了多少条款，不看这些条款有没有真正落实：一份文件只写“应按 7.3.1 实施室内质控”、却不给出具体质控方案，同样算作已覆盖。这一点由 Tier 2 和 Tier 3 补上——Table 1 的“条款满足度”维度把“大量条款仅引用未落实”直接判为 1 分——因此 Tier 1 分数高，并不代表文件可以拿去申请认可。</w:t>
      </w:r>
    </w:p>
    <w:p>
      <w:pPr>
        <w:spacing w:before="160" w:after="40" w:lineRule="auto" w:line="360"/>
        <w:jc w:val="left"/>
      </w:pPr>
      <w:r>
        <w:rPr>
          <w:rFonts w:ascii="Times New Roman" w:hAnsi="Times New Roman" w:eastAsia="宋体"/>
          <w:b/>
          <w:i w:val="0"/>
          <w:sz w:val="24"/>
        </w:rPr>
        <w:t>2.3.2 Tier 2 – LLM-as-judge</w:t>
      </w:r>
    </w:p>
    <w:p>
      <w:pPr>
        <w:spacing w:before="80" w:after="80" w:lineRule="auto" w:line="360"/>
        <w:ind w:firstLine="0"/>
        <w:jc w:val="both"/>
      </w:pPr>
      <w:r>
        <w:rPr>
          <w:rFonts w:ascii="Times New Roman" w:hAnsi="Times New Roman" w:eastAsia="宋体"/>
          <w:b w:val="0"/>
          <w:i w:val="0"/>
          <w:sz w:val="24"/>
        </w:rPr>
        <w:t>两位评判者（Claude、GPT）各自给两个模型生成的文件打分，构成 2×2 交叉设计，从而把评判者的自我偏好与真实质量差异分开。Claude Opus 4.6 扮演“CNAS 主任评审员”，按 Table 1 的五个维度给每份覆盖到的文件打一次分，经 Claude Code 的 Agent 子代理运行、未显式设定 temperature 与 max_tokens。Claude 评审随配置集扩展分批进行，部分批次只保留了组均值而非逐文件评分（第 4.6 节），故文件级评分共 378 条、占 486 份文件的 77.8%。GPT-5.4 用相同的 prompt、量规与 0–5 分尺度对全部 486 份文件各打一次分（405 份 Claude 生成 + 81 份 GPT 生成），其参数为 temperature = 0、max_completion_tokens = 2,000，与 Tier 2a 不同（第 4.6 节）；输出未被 max_tokens 截断（486 份 JSON 全部正常解析），每份原始 JSON 均已公开。两位评判者合计 864 条评分；两边数目不等原因如上，但 2×2 的四个象限都有数据，因此仍能做自我偏好分解。Table 1 给出了 5 分、3 分、1 分的明确标准（分别对应完全符合、部分符合、严重不符）；中间的 4、2 分由评分者在相邻两档之间判断；0 分表示该维度无法评估。这些标准对所有评判者与专家完全一致。</w:t>
      </w:r>
    </w:p>
    <w:p>
      <w:pPr>
        <w:spacing w:before="120" w:after="40" w:lineRule="auto" w:line="360"/>
        <w:ind w:firstLine="0"/>
        <w:jc w:val="center"/>
      </w:pPr>
      <w:r>
        <w:rPr>
          <w:rFonts w:ascii="Times New Roman" w:hAnsi="Times New Roman" w:eastAsia="宋体"/>
          <w:b/>
          <w:i w:val="0"/>
          <w:sz w:val="24"/>
        </w:rPr>
        <w:t>Table 1. Tier 2a/2b 与 Tier 3 共用的五维度评分量规。</w:t>
      </w:r>
    </w:p>
    <w:tbl>
      <w:tblPr>
        <w:tblW w:type="auto" w:w="0"/>
        <w:jc w:val="center"/>
        <w:tblLayout w:type="autofit"/>
        <w:tblLook w:firstColumn="1" w:firstRow="1" w:lastColumn="0" w:lastRow="0" w:noHBand="0" w:noVBand="1" w:val="04A0"/>
      </w:tblPr>
      <w:tblGrid>
        <w:gridCol w:w="2209"/>
        <w:gridCol w:w="2209"/>
        <w:gridCol w:w="2209"/>
        <w:gridCol w:w="2209"/>
      </w:tblGrid>
      <w:tr>
        <w:tc>
          <w:tcPr>
            <w:tcW w:type="dxa" w:w="2209"/>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维度</w:t>
            </w:r>
          </w:p>
        </w:tc>
        <w:tc>
          <w:tcPr>
            <w:tcW w:type="dxa" w:w="2209"/>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5 分标准</w:t>
            </w:r>
          </w:p>
        </w:tc>
        <w:tc>
          <w:tcPr>
            <w:tcW w:type="dxa" w:w="2209"/>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3 分标准</w:t>
            </w:r>
          </w:p>
        </w:tc>
        <w:tc>
          <w:tcPr>
            <w:tcW w:type="dxa" w:w="2209"/>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1 分标准</w:t>
            </w:r>
          </w:p>
        </w:tc>
      </w:tr>
      <w:tr>
        <w:tc>
          <w:tcPr>
            <w:tcW w:type="dxa" w:w="2209"/>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条款满足度</w:t>
            </w:r>
          </w:p>
        </w:tc>
        <w:tc>
          <w:tcPr>
            <w:tcW w:type="dxa" w:w="2209"/>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对应条款所有 SHALL 要求均有具体落地措施</w:t>
            </w:r>
          </w:p>
        </w:tc>
        <w:tc>
          <w:tcPr>
            <w:tcW w:type="dxa" w:w="2209"/>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覆盖主要条款但有遗漏或浮于表面</w:t>
            </w:r>
          </w:p>
        </w:tc>
        <w:tc>
          <w:tcPr>
            <w:tcW w:type="dxa" w:w="2209"/>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大量条款仅引用未落实，或严重遗漏</w:t>
            </w:r>
          </w:p>
        </w:tc>
      </w:tr>
      <w:tr>
        <w:tc>
          <w:tcPr>
            <w:tcW w:type="dxa" w:w="2209"/>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可操作性</w:t>
            </w:r>
          </w:p>
        </w:tc>
        <w:tc>
          <w:tcPr>
            <w:tcW w:type="dxa" w:w="2209"/>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每步有具体责任人（岗位名）、量化时限、明确输出（表单编号）</w:t>
            </w:r>
          </w:p>
        </w:tc>
        <w:tc>
          <w:tcPr>
            <w:tcW w:type="dxa" w:w="2209"/>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大部分步骤可操作，少量模糊</w:t>
            </w:r>
          </w:p>
        </w:tc>
        <w:tc>
          <w:tcPr>
            <w:tcW w:type="dxa" w:w="2209"/>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大量“及时”“相关人员”“定期”等无法执行的表述</w:t>
            </w:r>
          </w:p>
        </w:tc>
      </w:tr>
      <w:tr>
        <w:tc>
          <w:tcPr>
            <w:tcW w:type="dxa" w:w="2209"/>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内部一致性</w:t>
            </w:r>
          </w:p>
        </w:tc>
        <w:tc>
          <w:tcPr>
            <w:tcW w:type="dxa" w:w="2209"/>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引用的文件/表单全部在相关章节列出，职责分配清晰</w:t>
            </w:r>
          </w:p>
        </w:tc>
        <w:tc>
          <w:tcPr>
            <w:tcW w:type="dxa" w:w="2209"/>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少量悬空引用或表述矛盾</w:t>
            </w:r>
          </w:p>
        </w:tc>
        <w:tc>
          <w:tcPr>
            <w:tcW w:type="dxa" w:w="2209"/>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大量悬空引用或职责冲突</w:t>
            </w:r>
          </w:p>
        </w:tc>
      </w:tr>
      <w:tr>
        <w:tc>
          <w:tcPr>
            <w:tcW w:type="dxa" w:w="2209"/>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PDCA 闭环</w:t>
            </w:r>
          </w:p>
        </w:tc>
        <w:tc>
          <w:tcPr>
            <w:tcW w:type="dxa" w:w="2209"/>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明确有计划、执行记录、效果评估、不合格处理→改进的完整链条</w:t>
            </w:r>
          </w:p>
        </w:tc>
        <w:tc>
          <w:tcPr>
            <w:tcW w:type="dxa" w:w="2209"/>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有 P-D-C 但缺少 A（改进/反馈机制）</w:t>
            </w:r>
          </w:p>
        </w:tc>
        <w:tc>
          <w:tcPr>
            <w:tcW w:type="dxa" w:w="2209"/>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仅描述执行步骤，无检查和改进</w:t>
            </w:r>
          </w:p>
        </w:tc>
      </w:tr>
      <w:tr>
        <w:tc>
          <w:tcPr>
            <w:tcW w:type="dxa" w:w="2209"/>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专业深度</w:t>
            </w:r>
          </w:p>
        </w:tc>
        <w:tc>
          <w:tcPr>
            <w:tcW w:type="dxa" w:w="2209"/>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包含检验科专业细节（如 Westgard 规则、测量不确定度、Sigma 度量、HIL 指数、盲样测试、PCR 分区、冷链等）</w:t>
            </w:r>
          </w:p>
        </w:tc>
        <w:tc>
          <w:tcPr>
            <w:tcW w:type="dxa" w:w="2209"/>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有一定专业性但偏通用</w:t>
            </w:r>
          </w:p>
        </w:tc>
        <w:tc>
          <w:tcPr>
            <w:tcW w:type="dxa" w:w="2209"/>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内容泛泛，可套用于任何实验室</w:t>
            </w:r>
          </w:p>
        </w:tc>
      </w:tr>
    </w:tbl>
    <w:p/>
    <w:p>
      <w:pPr>
        <w:spacing w:before="160" w:after="40" w:lineRule="auto" w:line="360"/>
        <w:jc w:val="left"/>
      </w:pPr>
      <w:r>
        <w:rPr>
          <w:rFonts w:ascii="Times New Roman" w:hAnsi="Times New Roman" w:eastAsia="宋体"/>
          <w:b/>
          <w:i w:val="0"/>
          <w:sz w:val="24"/>
        </w:rPr>
        <w:t>2.3.3 Tier 3 – 专家评审</w:t>
      </w:r>
    </w:p>
    <w:p>
      <w:pPr>
        <w:spacing w:before="80" w:after="80" w:lineRule="auto" w:line="360"/>
        <w:ind w:firstLine="0"/>
        <w:jc w:val="both"/>
      </w:pPr>
      <w:r>
        <w:rPr>
          <w:rFonts w:ascii="Times New Roman" w:hAnsi="Times New Roman" w:eastAsia="宋体"/>
          <w:b w:val="0"/>
          <w:i w:val="0"/>
          <w:sz w:val="24"/>
        </w:rPr>
        <w:t>3 位 ISO 15189 合格内审员对 10 份盲化、分层随机抽样的文件按同一套五维度量规独立评分。三位评分员均为本文作者，且同属一个单位：Rater 1 是第一作者，Rater 2 是杨岚，Rater 3 是陈欣盈。三人独立打分、互不交流，也不知道彼此的分数；为避免自我影响，Rater 1 直到三人评分表全部提交后才查看 Tier 1/2 的打分。Rater 2 与 Rater 3 在评分前签署了书面知情同意；评分时专家可自由查阅 ISO 15189:2022 与 CNAS-CL02:2023。本研究未开展正式的评分前校准会议（第 4.6 节）。</w:t>
      </w:r>
    </w:p>
    <w:p>
      <w:pPr>
        <w:spacing w:before="80" w:after="80" w:lineRule="auto" w:line="360"/>
        <w:ind w:firstLine="0"/>
        <w:jc w:val="both"/>
      </w:pPr>
      <w:r>
        <w:rPr>
          <w:rFonts w:ascii="Times New Roman" w:hAnsi="Times New Roman" w:eastAsia="宋体"/>
          <w:b w:val="0"/>
          <w:i w:val="0"/>
          <w:sz w:val="24"/>
        </w:rPr>
        <w:t>10 份文件用固定随机种子（seed = 42）从 486 份中分层随机抽取，分层按 7 个配置 × A 类的 3 个任务（A1–A3）划分，每层抽 1–2 份。只评 A 类，是因为它在 CNAS 评审里最稳定、最有代表性（第 4.6 节）；具体是哪 7 个配置见第 3.5 节。盲化用开源脚本 prepare_blind_review.py 完成：文件重命名为匿名编号，正文里所有模型名与配置标识均已删除并核对，呈现顺序随机打乱且三位专家一致。文档与配置的对照表在三人评分全部交齐后才解封。</w:t>
      </w:r>
    </w:p>
    <w:p>
      <w:pPr>
        <w:spacing w:before="200" w:after="80" w:lineRule="auto" w:line="360"/>
        <w:jc w:val="left"/>
      </w:pPr>
      <w:r>
        <w:rPr>
          <w:rFonts w:ascii="Times New Roman" w:hAnsi="Times New Roman" w:eastAsia="宋体"/>
          <w:b/>
          <w:i w:val="0"/>
          <w:sz w:val="24"/>
        </w:rPr>
        <w:t>2.4 统计方法</w:t>
      </w:r>
    </w:p>
    <w:p>
      <w:pPr>
        <w:spacing w:before="160" w:after="40" w:lineRule="auto" w:line="360"/>
        <w:jc w:val="left"/>
      </w:pPr>
      <w:r>
        <w:rPr>
          <w:rFonts w:ascii="Times New Roman" w:hAnsi="Times New Roman" w:eastAsia="宋体"/>
          <w:b/>
          <w:i w:val="0"/>
          <w:sz w:val="24"/>
        </w:rPr>
        <w:t>2.4.1 组间成对比较与多重校正</w:t>
      </w:r>
    </w:p>
    <w:p>
      <w:pPr>
        <w:spacing w:before="80" w:after="80" w:lineRule="auto" w:line="360"/>
        <w:ind w:firstLine="0"/>
        <w:jc w:val="both"/>
      </w:pPr>
      <w:r>
        <w:rPr>
          <w:rFonts w:ascii="Times New Roman" w:hAnsi="Times New Roman" w:eastAsia="宋体"/>
          <w:b w:val="0"/>
          <w:i w:val="0"/>
          <w:sz w:val="24"/>
        </w:rPr>
        <w:t>组间成对比较用双侧 Mann–Whitney U 检验，数据为 GPT 评判者对每份文件的评分（每个配置 n = 45，即 15 任务 × 3 重复）。同一配置内的观测共享同样的 15 项任务，并不完全独立；检验将重复视为独立样本，是一种简化。按任务类别分层的估计（Table 3）显示规则效应在三类任务中方向一致，不支持该效应由个别任务驱动。四个成分对比之间存在配置重叠、并不独立，因此多重比较用 Benjamini–Hochberg FDR 校正（α = 0.05）而非更保守的 Bonferroni，以在控制错误发现率的同时保留更高功效。每个效应量 Δ 的 95% 置信区间用 bootstrap 计算（非参数 percentile 法，固定随机种子，重采样 B = 10,000 次）。</w:t>
      </w:r>
    </w:p>
    <w:p>
      <w:pPr>
        <w:spacing w:before="160" w:after="40" w:lineRule="auto" w:line="360"/>
        <w:jc w:val="left"/>
      </w:pPr>
      <w:r>
        <w:rPr>
          <w:rFonts w:ascii="Times New Roman" w:hAnsi="Times New Roman" w:eastAsia="宋体"/>
          <w:b/>
          <w:i w:val="0"/>
          <w:sz w:val="24"/>
        </w:rPr>
        <w:t>2.4.2 配置成分效应的量化</w:t>
      </w:r>
    </w:p>
    <w:p>
      <w:pPr>
        <w:spacing w:before="80" w:after="80" w:lineRule="auto" w:line="360"/>
        <w:ind w:firstLine="0"/>
        <w:jc w:val="both"/>
      </w:pPr>
      <w:r>
        <w:rPr>
          <w:rFonts w:ascii="Times New Roman" w:hAnsi="Times New Roman" w:eastAsia="宋体"/>
          <w:b w:val="0"/>
          <w:i w:val="0"/>
          <w:sz w:val="24"/>
        </w:rPr>
        <w:t>我们用 4 对配置分别衡量这 4 类内容的作用，每一对主要差一种内容：</w:t>
      </w:r>
      <w:r>
        <w:rPr>
          <w:rFonts w:ascii="Times New Roman" w:hAnsi="Times New Roman" w:eastAsia="宋体"/>
          <w:b w:val="0"/>
          <w:i/>
          <w:sz w:val="24"/>
        </w:rPr>
        <w:t>rules</w:t>
      </w:r>
      <w:r>
        <w:rPr>
          <w:rFonts w:ascii="Times New Roman" w:hAnsi="Times New Roman" w:eastAsia="宋体"/>
          <w:b w:val="0"/>
          <w:i w:val="0"/>
          <w:sz w:val="24"/>
        </w:rPr>
        <w:t>（E_rules_v2 vs A_bare）、</w:t>
      </w:r>
      <w:r>
        <w:rPr>
          <w:rFonts w:ascii="Times New Roman" w:hAnsi="Times New Roman" w:eastAsia="宋体"/>
          <w:b w:val="0"/>
          <w:i/>
          <w:sz w:val="24"/>
        </w:rPr>
        <w:t>document skeleton</w:t>
      </w:r>
      <w:r>
        <w:rPr>
          <w:rFonts w:ascii="Times New Roman" w:hAnsi="Times New Roman" w:eastAsia="宋体"/>
          <w:b w:val="0"/>
          <w:i w:val="0"/>
          <w:sz w:val="24"/>
        </w:rPr>
        <w:t>（H4_sop_only vs E_rules_v2）、</w:t>
      </w:r>
      <w:r>
        <w:rPr>
          <w:rFonts w:ascii="Times New Roman" w:hAnsi="Times New Roman" w:eastAsia="宋体"/>
          <w:b w:val="0"/>
          <w:i/>
          <w:sz w:val="24"/>
        </w:rPr>
        <w:t>detailed content</w:t>
      </w:r>
      <w:r>
        <w:rPr>
          <w:rFonts w:ascii="Times New Roman" w:hAnsi="Times New Roman" w:eastAsia="宋体"/>
          <w:b w:val="0"/>
          <w:i w:val="0"/>
          <w:sz w:val="24"/>
        </w:rPr>
        <w:t>（G_template_rules vs H3_skeleton）、</w:t>
      </w:r>
      <w:r>
        <w:rPr>
          <w:rFonts w:ascii="Times New Roman" w:hAnsi="Times New Roman" w:eastAsia="宋体"/>
          <w:b w:val="0"/>
          <w:i/>
          <w:sz w:val="24"/>
        </w:rPr>
        <w:t>worked examples</w:t>
      </w:r>
      <w:r>
        <w:rPr>
          <w:rFonts w:ascii="Times New Roman" w:hAnsi="Times New Roman" w:eastAsia="宋体"/>
          <w:b w:val="0"/>
          <w:i w:val="0"/>
          <w:sz w:val="24"/>
        </w:rPr>
        <w:t>（H2_keep_examples vs G_template_rules）。某类内容的作用（记为 Δ）就是这一对里两个配置的平均分之差，以 0–5 分的原始量纲表示、未做标准化，并给出 bootstrap 95% CI（Table 3）。我们特意用这种最直接的对比而非更复杂的统计模型，因为它最直观、最好解读。需说明的是，9 个配置并非 Taguchi L9 正交表，而是 4 维配置空间的一个结构化子集，其选取目的是用上述成对对比分离各维度的影响，而不依赖正交表的因子平衡设计；因此 Δ 仅对应上述这些特定的配置对。</w:t>
      </w:r>
    </w:p>
    <w:p>
      <w:pPr>
        <w:spacing w:before="160" w:after="40" w:lineRule="auto" w:line="360"/>
        <w:jc w:val="left"/>
      </w:pPr>
      <w:r>
        <w:rPr>
          <w:rFonts w:ascii="Times New Roman" w:hAnsi="Times New Roman" w:eastAsia="宋体"/>
          <w:b/>
          <w:i w:val="0"/>
          <w:sz w:val="24"/>
        </w:rPr>
        <w:t>2.4.3 评分者间一致性</w:t>
      </w:r>
    </w:p>
    <w:p>
      <w:pPr>
        <w:spacing w:before="80" w:after="80" w:lineRule="auto" w:line="360"/>
        <w:ind w:firstLine="0"/>
        <w:jc w:val="both"/>
      </w:pPr>
      <w:r>
        <w:rPr>
          <w:rFonts w:ascii="Times New Roman" w:hAnsi="Times New Roman" w:eastAsia="宋体"/>
          <w:b w:val="0"/>
          <w:i w:val="0"/>
          <w:sz w:val="24"/>
        </w:rPr>
        <w:t>评分者间一致性用 Pearson 相关系数、Spearman 相关系数与组内相关系数（ICC，按 Shrout 与 Fleiss [11] 的框架）一起报告，均用 Python 库 pingouin 计算。两两比较（专家均值 vs 各 LLM 评判者、以及专家彼此之间）用单评分者的 ICC(2,1) 与 ICC(3,1)；评估三人专家组的整体信度时用平均型 ICC(2,k) 与 ICC(3,k)（k=3）。这样选择的原因是：评估专家组信度时，我们关心的是三人平均分是否可靠，所以用平均型；比较评判者与专家时，我们关心的是单个评判者能否复现专家的排序，所以用单评分者的排序型 ICC(3,1)。排序型容许两者的分数存在整体偏移，而这种偏移——LLM 评判者的系统性高估——已在 第 3.5 节 单独报告。</w:t>
      </w:r>
    </w:p>
    <w:p>
      <w:pPr>
        <w:spacing w:before="160" w:after="40" w:lineRule="auto" w:line="360"/>
        <w:jc w:val="left"/>
      </w:pPr>
      <w:r>
        <w:rPr>
          <w:rFonts w:ascii="Times New Roman" w:hAnsi="Times New Roman" w:eastAsia="宋体"/>
          <w:b/>
          <w:i w:val="0"/>
          <w:sz w:val="24"/>
        </w:rPr>
        <w:t>2.4.4 自评偏差</w:t>
      </w:r>
    </w:p>
    <w:p>
      <w:pPr>
        <w:spacing w:before="80" w:after="80" w:lineRule="auto" w:line="360"/>
        <w:ind w:firstLine="0"/>
        <w:jc w:val="both"/>
      </w:pPr>
      <w:r>
        <w:rPr>
          <w:rFonts w:ascii="Times New Roman" w:hAnsi="Times New Roman" w:eastAsia="宋体"/>
          <w:b w:val="0"/>
          <w:i w:val="0"/>
          <w:sz w:val="24"/>
        </w:rPr>
        <w:t>对每个作为评判者的模型 M（Claude 或 GPT），自评偏差按 Panickssery 等 [10] 的经典定义计算：</w:t>
      </w:r>
    </w:p>
    <w:p>
      <w:pPr>
        <w:spacing w:before="80" w:after="80" w:lineRule="auto" w:line="360"/>
        <w:ind w:firstLine="0"/>
        <w:jc w:val="both"/>
      </w:pPr>
      <w:r>
        <w:rPr>
          <w:rFonts w:ascii="Times New Roman" w:hAnsi="Times New Roman" w:eastAsia="宋体"/>
          <w:b w:val="0"/>
          <w:i w:val="0"/>
          <w:sz w:val="24"/>
        </w:rPr>
        <w:t>bias_M = mean(judge = M, generator = M) − mean(judge = M, generator = M′)，</w:t>
      </w:r>
    </w:p>
    <w:p>
      <w:pPr>
        <w:spacing w:before="80" w:after="80" w:lineRule="auto" w:line="360"/>
        <w:ind w:firstLine="0"/>
        <w:jc w:val="both"/>
      </w:pPr>
      <w:r>
        <w:rPr>
          <w:rFonts w:ascii="Times New Roman" w:hAnsi="Times New Roman" w:eastAsia="宋体"/>
          <w:b w:val="0"/>
          <w:i w:val="0"/>
          <w:sz w:val="24"/>
        </w:rPr>
        <w:t>其中 M′ 为另一模型；正值代表评判者 M 给自家文件打的分更高。作为敏感性检验，我们用另一种公式重算（同一生成者、不同评判者），得到 Claude +0.464、GPT −0.472，与 第 3.4 节 报告的经典值（+0.294 与 −0.301）方向一致。</w:t>
      </w:r>
    </w:p>
    <w:p>
      <w:pPr>
        <w:spacing w:before="280" w:after="120" w:lineRule="auto" w:line="360"/>
        <w:jc w:val="left"/>
      </w:pPr>
      <w:r>
        <w:rPr>
          <w:rFonts w:ascii="Times New Roman" w:hAnsi="Times New Roman" w:eastAsia="宋体"/>
          <w:b/>
          <w:i w:val="0"/>
          <w:sz w:val="24"/>
        </w:rPr>
        <w:t>3. Results</w:t>
      </w:r>
    </w:p>
    <w:p>
      <w:pPr>
        <w:spacing w:before="200" w:after="80" w:lineRule="auto" w:line="360"/>
        <w:jc w:val="left"/>
      </w:pPr>
      <w:r>
        <w:rPr>
          <w:rFonts w:ascii="Times New Roman" w:hAnsi="Times New Roman" w:eastAsia="宋体"/>
          <w:b/>
          <w:i w:val="0"/>
          <w:sz w:val="24"/>
        </w:rPr>
        <w:t>3.1 配置在自动评分与 LLM 评判者下的综合排名</w:t>
      </w:r>
    </w:p>
    <w:p>
      <w:pPr>
        <w:spacing w:before="80" w:after="80" w:lineRule="auto" w:line="360"/>
        <w:ind w:firstLine="0"/>
        <w:jc w:val="both"/>
      </w:pPr>
      <w:r>
        <w:rPr>
          <w:rFonts w:ascii="Times New Roman" w:hAnsi="Times New Roman" w:eastAsia="宋体"/>
          <w:b w:val="0"/>
          <w:i w:val="0"/>
          <w:sz w:val="24"/>
        </w:rPr>
        <w:t>我们对 405 份 Claude 生成文件做综合排名（Table 2）。综合分由 Tier 1 自动评分均值与 Tier 2 LLM 评判者均值（跨 Claude、GPT 两位评判者取均值）合成，两项各做 min-max 归一化到 [0, 1] 后等权平均。H4_sop_only 以 ~2,000 tokens 拿到最高综合分，远低于带完整文档模板的配置和全量 C_full（~56,000 tokens）；但如第 3.5 节所示，这个排名在专家评估下并不成立。</w:t>
      </w:r>
    </w:p>
    <w:p>
      <w:pPr>
        <w:spacing w:before="120" w:after="40" w:lineRule="auto" w:line="360"/>
        <w:ind w:firstLine="0"/>
        <w:jc w:val="center"/>
      </w:pPr>
      <w:r>
        <w:rPr>
          <w:rFonts w:ascii="Times New Roman" w:hAnsi="Times New Roman" w:eastAsia="宋体"/>
          <w:b/>
          <w:i w:val="0"/>
          <w:sz w:val="24"/>
        </w:rPr>
        <w:t>Table 2. 9 个配置的综合排名。</w:t>
      </w:r>
    </w:p>
    <w:tbl>
      <w:tblPr>
        <w:tblW w:type="auto" w:w="0"/>
        <w:jc w:val="center"/>
        <w:tblLayout w:type="autofit"/>
        <w:tblLook w:firstColumn="1" w:firstRow="1" w:lastColumn="0" w:lastRow="0" w:noHBand="0" w:noVBand="1" w:val="04A0"/>
      </w:tblPr>
      <w:tblGrid>
        <w:gridCol w:w="2946"/>
        <w:gridCol w:w="2946"/>
        <w:gridCol w:w="2946"/>
      </w:tblGrid>
      <w:tr>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配置</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system prompt 体量</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综合分</w:t>
            </w:r>
          </w:p>
        </w:tc>
      </w:tr>
      <w:tr>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H4_sop_only</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~2,000 tokens</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0.994</w:t>
            </w:r>
          </w:p>
        </w:tc>
      </w:tr>
      <w:tr>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H3_skeleton</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~5,000 tokens</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0.869</w:t>
            </w:r>
          </w:p>
        </w:tc>
      </w:tr>
      <w:tr>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G_template_rules</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~16,000 tokens</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0.851</w:t>
            </w:r>
          </w:p>
        </w:tc>
      </w:tr>
      <w:tr>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H2_keep_examples</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~25,000 tokens</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0.759</w:t>
            </w:r>
          </w:p>
        </w:tc>
      </w:tr>
      <w:tr>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E_rules_v2</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~1,200 tokens</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0.729</w:t>
            </w:r>
          </w:p>
        </w:tc>
      </w:tr>
      <w:tr>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C_full</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~56,000 tokens</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0.493</w:t>
            </w:r>
          </w:p>
        </w:tc>
      </w:tr>
      <w:tr>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F_template</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~15,000 tokens</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0.345</w:t>
            </w:r>
          </w:p>
        </w:tc>
      </w:tr>
      <w:tr>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B_simple</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~300 tokens</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0.227</w:t>
            </w:r>
          </w:p>
        </w:tc>
      </w:tr>
      <w:tr>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A_bare</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 tokens</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0.000</w:t>
            </w:r>
          </w:p>
        </w:tc>
      </w:tr>
    </w:tbl>
    <w:p/>
    <w:p>
      <w:pPr>
        <w:spacing w:before="200" w:after="80" w:lineRule="auto" w:line="360"/>
        <w:jc w:val="left"/>
      </w:pPr>
      <w:r>
        <w:rPr>
          <w:rFonts w:ascii="Times New Roman" w:hAnsi="Times New Roman" w:eastAsia="宋体"/>
          <w:b/>
          <w:i w:val="0"/>
          <w:sz w:val="24"/>
        </w:rPr>
        <w:t>3.2 四成分替换对比消融</w:t>
      </w:r>
    </w:p>
    <w:p>
      <w:pPr>
        <w:spacing w:before="80" w:after="80" w:lineRule="auto" w:line="360"/>
        <w:ind w:firstLine="0"/>
        <w:jc w:val="both"/>
      </w:pPr>
      <w:r>
        <w:rPr>
          <w:rFonts w:ascii="Times New Roman" w:hAnsi="Times New Roman" w:eastAsia="宋体"/>
          <w:b w:val="0"/>
          <w:i w:val="0"/>
          <w:sz w:val="24"/>
        </w:rPr>
        <w:t>4 个成分的消融效应汇总于 Table 3。</w:t>
      </w:r>
    </w:p>
    <w:p>
      <w:pPr>
        <w:spacing w:before="120" w:after="40" w:lineRule="auto" w:line="360"/>
        <w:ind w:firstLine="0"/>
        <w:jc w:val="center"/>
      </w:pPr>
      <w:r>
        <w:rPr>
          <w:rFonts w:ascii="Times New Roman" w:hAnsi="Times New Roman" w:eastAsia="宋体"/>
          <w:b/>
          <w:i w:val="0"/>
          <w:sz w:val="24"/>
        </w:rPr>
        <w:t>Table 3. 4 个 prompt 成分的消融效应（Tier 2b GPT 评判者评分；每个对比的两个配置见第 2.4.2 节）。</w:t>
      </w:r>
    </w:p>
    <w:tbl>
      <w:tblPr>
        <w:tblW w:type="auto" w:w="0"/>
        <w:jc w:val="center"/>
        <w:tblLayout w:type="autofit"/>
        <w:tblLook w:firstColumn="1" w:firstRow="1" w:lastColumn="0" w:lastRow="0" w:noHBand="0" w:noVBand="1" w:val="04A0"/>
      </w:tblPr>
      <w:tblGrid>
        <w:gridCol w:w="1263"/>
        <w:gridCol w:w="1263"/>
        <w:gridCol w:w="1263"/>
        <w:gridCol w:w="1263"/>
        <w:gridCol w:w="1263"/>
        <w:gridCol w:w="1263"/>
        <w:gridCol w:w="1263"/>
      </w:tblGrid>
      <w:tr>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成分</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Δ（全部）</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95% CI</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BH-adjusted p</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Δ_A 文件编写</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Δ_B 体系运行</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Δ_C 审核模拟</w:t>
            </w:r>
          </w:p>
        </w:tc>
      </w:tr>
      <w:tr>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rules（规则）</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+0.511</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(+0.28, +0.75)</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&lt;0.001</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+0.507</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+0.613</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+0.413</w:t>
            </w:r>
          </w:p>
        </w:tc>
      </w:tr>
      <w:tr>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document skeleton（文档骨架）</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+0.213</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(+0.05, +0.39)</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0.11</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+0.347</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+0.187</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+0.107</w:t>
            </w:r>
          </w:p>
        </w:tc>
      </w:tr>
      <w:tr>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detailed content（详细内容）</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−0.031</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(−0.19, +0.12)</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0.79</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+0.107</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+0.053</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−0.253</w:t>
            </w:r>
          </w:p>
        </w:tc>
      </w:tr>
      <w:tr>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worked examples</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−0.053</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(−0.21, +0.11)</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0.61</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−0.080</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−0.173</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+0.093</w:t>
            </w:r>
          </w:p>
        </w:tc>
      </w:tr>
    </w:tbl>
    <w:p/>
    <w:p>
      <w:pPr>
        <w:spacing w:before="40" w:after="120" w:lineRule="auto" w:line="240"/>
        <w:ind w:firstLine="0"/>
        <w:jc w:val="both"/>
      </w:pPr>
      <w:r>
        <w:rPr>
          <w:rFonts w:ascii="Times New Roman" w:hAnsi="Times New Roman" w:eastAsia="宋体"/>
          <w:b w:val="0"/>
          <w:i w:val="0"/>
          <w:sz w:val="24"/>
        </w:rPr>
        <w:t>右侧三列为按任务类别分层的 Δ（每格 n=15：5 项任务 × 3 次重复）。这三列的分层 Δ、以及 第 3.2 节 中按评分维度分解的 Δ，均为描述性点估计，未附 CI 与显著性检验；主效应的 CI 与校正后 p 见本表左侧。</w:t>
      </w:r>
    </w:p>
    <w:p>
      <w:pPr>
        <w:spacing w:before="80" w:after="80" w:lineRule="auto" w:line="360"/>
        <w:ind w:firstLine="0"/>
        <w:jc w:val="both"/>
      </w:pPr>
      <w:r>
        <w:rPr>
          <w:rFonts w:ascii="Times New Roman" w:hAnsi="Times New Roman" w:eastAsia="宋体"/>
          <w:b w:val="0"/>
          <w:i w:val="0"/>
          <w:sz w:val="24"/>
        </w:rPr>
        <w:t>四者之中只有规则在多重比较校正后仍然显著［BH-adjusted p&lt;0.001］。文档骨架方向为正、bootstrap 区间不含 0，但基于秩的检验未达显著［BH-adjusted p=0.11］，只能算提示性证据；详细内容和 worked examples 均无可检出的效应。补充对比显示，H4_sop_only（仅含单个 SOP 骨架）与 H3_skeleton（完整模块骨架）作用相当［Δ=−0.009］。按任务类别分层看（Table 3 右三列），规则的效应在三类任务中方向一致、量级相近（+0.41 至 +0.61），并未逆转；其余三个成分则随类别波动且量级远小于规则。</w:t>
      </w:r>
    </w:p>
    <w:p>
      <w:pPr>
        <w:spacing w:before="80" w:after="80" w:lineRule="auto" w:line="360"/>
        <w:ind w:firstLine="0"/>
        <w:jc w:val="both"/>
      </w:pPr>
      <w:r>
        <w:rPr>
          <w:rFonts w:ascii="Times New Roman" w:hAnsi="Times New Roman" w:eastAsia="宋体"/>
          <w:b w:val="0"/>
          <w:i w:val="0"/>
          <w:sz w:val="24"/>
        </w:rPr>
        <w:t>规则成分的效应还可按评分维度分解（GPT 评判者，每个配置 n=45）：可操作性 +0.867、专业深度 +0.644、条款满足度 +0.400、PDCA 闭环 +0.333、内部一致性 +0.311。增益最大的两个维度是可操作性与专业深度，而非格式与结构类维度——这说明规则约束并不只是在规范文件的外形，也提高了文件写入检验专业细节的程度。不过，这里分层的是评分维度，不是文件类型。“专业深度”只是技术性的一个代理指标（Table 1）。真正按文件类型分层——把通用管理文件与检验技术文件分开比较——本研究做不到，因为任务集里根本没有技术类文件（第 4.6 节 局限性）。</w:t>
      </w:r>
    </w:p>
    <w:p>
      <w:pPr>
        <w:spacing w:before="80" w:after="80" w:lineRule="auto" w:line="360"/>
        <w:ind w:firstLine="0"/>
        <w:jc w:val="both"/>
      </w:pPr>
      <w:r>
        <w:rPr>
          <w:rFonts w:ascii="Times New Roman" w:hAnsi="Times New Roman" w:eastAsia="宋体"/>
          <w:b w:val="0"/>
          <w:i w:val="0"/>
          <w:sz w:val="24"/>
        </w:rPr>
        <w:t>以上结果仅针对 LLM 评判者层；专家层的对比见第 3.5 节。</w:t>
      </w:r>
    </w:p>
    <w:p>
      <w:pPr>
        <w:spacing w:before="200" w:after="80" w:lineRule="auto" w:line="360"/>
        <w:jc w:val="left"/>
      </w:pPr>
      <w:r>
        <w:rPr>
          <w:rFonts w:ascii="Times New Roman" w:hAnsi="Times New Roman" w:eastAsia="宋体"/>
          <w:b/>
          <w:i w:val="0"/>
          <w:sz w:val="24"/>
        </w:rPr>
        <w:t>3.3 2×2 跨模型对称验证</w:t>
      </w:r>
    </w:p>
    <w:p>
      <w:pPr>
        <w:spacing w:before="80" w:after="80" w:lineRule="auto" w:line="360"/>
        <w:ind w:firstLine="0"/>
        <w:jc w:val="both"/>
      </w:pPr>
      <w:r>
        <w:rPr>
          <w:rFonts w:ascii="Times New Roman" w:hAnsi="Times New Roman" w:eastAsia="宋体"/>
          <w:b w:val="0"/>
          <w:i w:val="0"/>
          <w:sz w:val="24"/>
        </w:rPr>
        <w:t>Figure 2 给出 2×2 对称设计的结果：两个模型各自生成、再由两位评判者各自打分，覆盖 9 组配置 × 3 个任务（A1、B1、C1）× 每格 3 次重复。两个模型运行的是同一组任务，因此比较在任务上是配对的，配置效应不与任务效应混淆；但向其他任务的外推仍受限（第 4.6 节）。最突出的现象是 C_full（~56,000 tokens）在 GPT-5.4 生成时大幅下滑：Claude 评判者给 1.40、GPT 评判者给 1.84；而同一配置在 Claude 生成时为 3.22–4.56。可见这个全量配置只适用于 Claude，在本研究的参数下无法照搬到 GPT-5.4。</w:t>
      </w:r>
    </w:p>
    <w:p>
      <w:pPr>
        <w:spacing w:before="80" w:after="80" w:lineRule="auto" w:line="360"/>
        <w:ind w:firstLine="0"/>
        <w:jc w:val="both"/>
      </w:pPr>
      <w:r>
        <w:rPr>
          <w:rFonts w:ascii="Times New Roman" w:hAnsi="Times New Roman" w:eastAsia="宋体"/>
          <w:b w:val="0"/>
          <w:i w:val="0"/>
          <w:sz w:val="24"/>
        </w:rPr>
        <w:t>我们逐份查看了 GPT 生成的 C_full 输出，发现三类反复出现的问题：(i) 越往后越不遵守指令——system prompt 开头声明的约束，到输出后半段就不再执行；(ii) 结构错乱——章节顺序乱、必需标题缺失或编号出错；(iii) 条款引用混乱——引用错误、对不上号、甚至编造 ISO 15189:2022 条款号。这些问题在对应的 Claude 输出里都没有出现。</w:t>
      </w:r>
    </w:p>
    <w:p>
      <w:pPr>
        <w:spacing w:before="200" w:after="80" w:lineRule="auto" w:line="360"/>
        <w:jc w:val="left"/>
      </w:pPr>
      <w:r>
        <w:rPr>
          <w:rFonts w:ascii="Times New Roman" w:hAnsi="Times New Roman" w:eastAsia="宋体"/>
          <w:b/>
          <w:i w:val="0"/>
          <w:sz w:val="24"/>
        </w:rPr>
        <w:t>3.4 LLM 评判者的表观自评偏差</w:t>
      </w:r>
    </w:p>
    <w:p>
      <w:pPr>
        <w:spacing w:before="80" w:after="80" w:lineRule="auto" w:line="360"/>
        <w:ind w:firstLine="0"/>
        <w:jc w:val="both"/>
      </w:pPr>
      <w:r>
        <w:rPr>
          <w:rFonts w:ascii="Times New Roman" w:hAnsi="Times New Roman" w:eastAsia="宋体"/>
          <w:b w:val="0"/>
          <w:i w:val="0"/>
          <w:sz w:val="24"/>
        </w:rPr>
        <w:t>自评偏差（第 2.4.4 节）两个数字符号相反，却指向同一件事：在全部 9 个配置上，Claude 评判者为 +0.294、GPT 评判者为 −0.301，即两位评判者都把 Claude 生成的文件评得高约 0.3 分。去掉 C_full 后，两个偏差都塌回接近 0（Claude −0.064；GPT −0.167），可见差距主要由 C_full 造成——正是第 3.3 节里 GPT 在长上下文下崩溃的那个配置。</w:t>
      </w:r>
    </w:p>
    <w:p>
      <w:pPr>
        <w:spacing w:before="80" w:after="80" w:lineRule="auto" w:line="360"/>
        <w:ind w:firstLine="0"/>
        <w:jc w:val="both"/>
      </w:pPr>
      <w:r>
        <w:rPr>
          <w:rFonts w:ascii="Times New Roman" w:hAnsi="Times New Roman" w:eastAsia="宋体"/>
          <w:b w:val="0"/>
          <w:i w:val="0"/>
          <w:sz w:val="24"/>
        </w:rPr>
        <w:t>这种“符号相反”的模式与经典自我偏好不符——若真是自我偏好，两个偏差应同为正值。有两种不互斥的解释：(a) Claude 与 GPT 之间确实存在生成质量差异；(b) 两位评判者都偏好 Claude 的文风或排版。由于专家样本（n=10）全部来自 Claude 生成的文件，本研究无法区分二者（第 4.6 节）。</w:t>
      </w:r>
    </w:p>
    <w:p>
      <w:pPr>
        <w:spacing w:before="80" w:after="80" w:lineRule="auto" w:line="360"/>
        <w:ind w:firstLine="0"/>
        <w:jc w:val="both"/>
      </w:pPr>
      <w:r>
        <w:rPr>
          <w:rFonts w:ascii="Times New Roman" w:hAnsi="Times New Roman" w:eastAsia="宋体"/>
          <w:b w:val="0"/>
          <w:i w:val="0"/>
          <w:sz w:val="24"/>
        </w:rPr>
        <w:t>为排除这种影响，我们只用交叉打分重新排名。前四名（G_template_rules、H3_skeleton、E_rules_v2、H4_sop_only）彼此只差 0.11 分，统计上无法区分；而 C_full 从第 6 名跌到第 9 名（垫底）。可见 C_full 较高的 LLM 评分主要靠两点撑着：Claude 评判者高估自家输出，以及 GPT 在 ~56,000-token 配置下根本产不出可用文件。</w:t>
      </w:r>
    </w:p>
    <w:p>
      <w:pPr>
        <w:spacing w:before="200" w:after="80" w:lineRule="auto" w:line="360"/>
        <w:jc w:val="left"/>
      </w:pPr>
      <w:r>
        <w:rPr>
          <w:rFonts w:ascii="Times New Roman" w:hAnsi="Times New Roman" w:eastAsia="宋体"/>
          <w:b/>
          <w:i w:val="0"/>
          <w:sz w:val="24"/>
        </w:rPr>
        <w:t>3.5 专家层校验</w:t>
      </w:r>
    </w:p>
    <w:p>
      <w:pPr>
        <w:spacing w:before="80" w:after="80" w:lineRule="auto" w:line="360"/>
        <w:ind w:firstLine="0"/>
        <w:jc w:val="both"/>
      </w:pPr>
      <w:r>
        <w:rPr>
          <w:rFonts w:ascii="Times New Roman" w:hAnsi="Times New Roman" w:eastAsia="宋体"/>
          <w:b w:val="0"/>
          <w:i w:val="0"/>
          <w:sz w:val="24"/>
        </w:rPr>
        <w:t>3 位专家之间的一致性极高：ICC(2,k)=0.982［95% CI（0.95, 1.00）］，两两比较也都在 0.92 以上（按 Cicchetti 标准属“优秀” [12]）。可见五维度量规在评分员之间高度可重复；但三人同属一个单位，这个一致性可能高于跨单位的真实水平（第 4.6 节）。</w:t>
      </w:r>
    </w:p>
    <w:p>
      <w:pPr>
        <w:spacing w:before="80" w:after="80" w:lineRule="auto" w:line="360"/>
        <w:ind w:firstLine="0"/>
        <w:jc w:val="both"/>
      </w:pPr>
      <w:r>
        <w:rPr>
          <w:rFonts w:ascii="Times New Roman" w:hAnsi="Times New Roman" w:eastAsia="宋体"/>
          <w:b w:val="0"/>
          <w:i w:val="0"/>
          <w:sz w:val="24"/>
        </w:rPr>
        <w:t>专家与两位 LLM 评判者之间的一致性则明显更低（Figure 3）：Claude 评判者 ICC(3,1)=0.548［95% CI（−0.08, 0.86），p=0.04］，GPT 评判者只有 0.217［95% CI（−0.44, 0.72），p=0.26］。两个区间都跨过 0，加之 n 仅为 10，因此这两个一致性系数只能作方向性提示，不足以支撑确切的统计结论。而且两位评判者都系统性地把合规分打得比专家高——Claude 高估 0.905 分、GPT 高估 0.525 分。也就是说，Claude 评判者与专家勉强算中等一致，GPT 评判者则较差。</w:t>
      </w:r>
    </w:p>
    <w:p>
      <w:pPr>
        <w:spacing w:before="80" w:after="80" w:lineRule="auto" w:line="360"/>
        <w:ind w:firstLine="0"/>
        <w:jc w:val="both"/>
      </w:pPr>
      <w:r>
        <w:rPr>
          <w:rFonts w:ascii="Times New Roman" w:hAnsi="Times New Roman" w:eastAsia="宋体"/>
          <w:b w:val="0"/>
          <w:i w:val="0"/>
          <w:sz w:val="24"/>
        </w:rPr>
        <w:t>按专家均值给这 7 个配置排名见 Table 4，结果与 LLM 评判者层几乎相反（Figure 4b）。</w:t>
      </w:r>
    </w:p>
    <w:p>
      <w:pPr>
        <w:spacing w:before="120" w:after="40" w:lineRule="auto" w:line="360"/>
        <w:ind w:firstLine="0"/>
        <w:jc w:val="center"/>
      </w:pPr>
      <w:r>
        <w:rPr>
          <w:rFonts w:ascii="Times New Roman" w:hAnsi="Times New Roman" w:eastAsia="宋体"/>
          <w:b/>
          <w:i w:val="0"/>
          <w:sz w:val="24"/>
        </w:rPr>
        <w:t>Table 4. 7 个抽样配置的三方评分（0–5 分；按专家均值降序；每个配置 1–2 份样本）。</w:t>
      </w:r>
    </w:p>
    <w:tbl>
      <w:tblPr>
        <w:tblW w:type="auto" w:w="0"/>
        <w:jc w:val="center"/>
        <w:tblLayout w:type="autofit"/>
        <w:tblLook w:firstColumn="1" w:firstRow="1" w:lastColumn="0" w:lastRow="0" w:noHBand="0" w:noVBand="1" w:val="04A0"/>
      </w:tblPr>
      <w:tblGrid>
        <w:gridCol w:w="1768"/>
        <w:gridCol w:w="1768"/>
        <w:gridCol w:w="1768"/>
        <w:gridCol w:w="1768"/>
        <w:gridCol w:w="1768"/>
      </w:tblGrid>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配置</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专家均值</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Claude 评判者</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GPT 评判者</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n</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F_template</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4.24</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4.60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4.00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1</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H2_keep_examples</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4.07</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4.40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4.00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1</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G_template_rules</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4.06</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4.80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4.50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2</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C_full</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3.45</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4.90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4.00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2</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H4_sop_only</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3.20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4.30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4.20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2</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E_rules_v2</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3.19</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4.00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4.00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1</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A_bare</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3.04</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4.00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3.80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1</w:t>
            </w:r>
          </w:p>
        </w:tc>
      </w:tr>
    </w:tbl>
    <w:p/>
    <w:p>
      <w:pPr>
        <w:spacing w:before="80" w:after="80" w:lineRule="auto" w:line="360"/>
        <w:ind w:firstLine="0"/>
        <w:jc w:val="both"/>
      </w:pPr>
      <w:r>
        <w:rPr>
          <w:rFonts w:ascii="Times New Roman" w:hAnsi="Times New Roman" w:eastAsia="宋体"/>
          <w:b w:val="0"/>
          <w:i w:val="0"/>
          <w:sz w:val="24"/>
        </w:rPr>
        <w:t>排名前三的都是带完整文档模板的配置；而在 LLM 评判者层排第 1 的 H4_sop_only 在专家这里掉到第 5，只比空白基线 A_bare 高 0.16 分。被高估最严重的是 C_full 和 H4_sop_only（比专家高约 1 分）：两者在结构与术语上都合规，却缺乏只有专家才能察觉的临床操作细节。因此骨架类配置在 LLM 评判者层的“低 token、高得分”优势，并未在专家评估中得到验证。每个配置仅 1–2 份样本，该排名仅为初步结果。</w:t>
      </w:r>
    </w:p>
    <w:p>
      <w:pPr>
        <w:spacing w:before="200" w:after="80" w:lineRule="auto" w:line="360"/>
        <w:jc w:val="left"/>
      </w:pPr>
      <w:r>
        <w:rPr>
          <w:rFonts w:ascii="Times New Roman" w:hAnsi="Times New Roman" w:eastAsia="宋体"/>
          <w:b/>
          <w:i w:val="0"/>
          <w:sz w:val="24"/>
        </w:rPr>
        <w:t>3.6 Token 规模与合规分数：跨评估层的差异关系</w:t>
      </w:r>
    </w:p>
    <w:p>
      <w:pPr>
        <w:spacing w:before="80" w:after="80" w:lineRule="auto" w:line="360"/>
        <w:ind w:firstLine="0"/>
        <w:jc w:val="both"/>
      </w:pPr>
      <w:r>
        <w:rPr>
          <w:rFonts w:ascii="Times New Roman" w:hAnsi="Times New Roman" w:eastAsia="宋体"/>
          <w:b w:val="0"/>
          <w:i w:val="0"/>
          <w:sz w:val="24"/>
        </w:rPr>
        <w:t>Figure 4a 将三方（专家、Claude 评判者、GPT 评判者）的合规分按 system-prompt 的 token 规模作图，三条曲线均基于同一组 n=10 专家盲评样本。三者走向并不一致：两位 LLM 评判者对低 token 配置与 C_full 的评分均较高，而专家仅对中段的模板配置（~15,000–16,000 tokens，F_template、G_template_rules）评分最高，曲线在两端均明显下降。</w:t>
      </w:r>
    </w:p>
    <w:p>
      <w:pPr>
        <w:spacing w:before="80" w:after="80" w:lineRule="auto" w:line="360"/>
        <w:ind w:firstLine="0"/>
        <w:jc w:val="both"/>
      </w:pPr>
      <w:r>
        <w:rPr>
          <w:rFonts w:ascii="Times New Roman" w:hAnsi="Times New Roman" w:eastAsia="宋体"/>
          <w:b w:val="0"/>
          <w:i w:val="0"/>
          <w:sz w:val="24"/>
        </w:rPr>
        <w:t>由此，专家与 LLM 评判者之间的分歧呈 U 形的描述性模式（样本量所限，未做非线性检验）：在低 token 端（A_bare、E_rules_v2、H4_sop_only）与高 token 端（C_full），两者差距达 0.8–1.1 分；而在中段的模板配置区间趋于一致（差距 ≤0.6 分）。这表明 token 效率与临床可用性对应两个不同的优化目标——相对于专家验证的真实合规性，LLM 评判者层同时高估了低 token 配置与 C_full。</w:t>
      </w:r>
    </w:p>
    <w:p>
      <w:pPr>
        <w:spacing w:before="80" w:after="80" w:lineRule="auto" w:line="360"/>
        <w:ind w:firstLine="0"/>
        <w:jc w:val="both"/>
      </w:pPr>
      <w:r>
        <w:rPr>
          <w:rFonts w:ascii="Times New Roman" w:hAnsi="Times New Roman" w:eastAsia="宋体"/>
          <w:b w:val="0"/>
          <w:i w:val="0"/>
          <w:sz w:val="24"/>
        </w:rPr>
        <w:t>从效率角度看，研究问题 (ii) 的关键不是绝对 token 数，而是每单位 token 的合规回报。第 3.2 节 表明只有“规则”产生确切增益，而规则仅需约 1,000 token（E_rules_v2），故单位 token 回报在加入规则时最高，之后迅速衰减。专家层则另有取舍：带完整文档模板的配置（约 15,000–16,000 token）单位回报虽低，却达到纯规则无法企及的更高绝对分，而 C_full（约 56,000 token）回报最低。因此“最少 token”取决于用途——LLM 快速起草约 1,000 token 的规则即够，送审文件则需约 15,000–16,000 token 换取更高质量上限。（专家层每配置仅 1–2 份样本，此比较为定性。）</w:t>
      </w:r>
    </w:p>
    <w:p>
      <w:pPr>
        <w:spacing w:before="280" w:after="120" w:lineRule="auto" w:line="360"/>
        <w:jc w:val="left"/>
      </w:pPr>
      <w:r>
        <w:rPr>
          <w:rFonts w:ascii="Times New Roman" w:hAnsi="Times New Roman" w:eastAsia="宋体"/>
          <w:b/>
          <w:i w:val="0"/>
          <w:sz w:val="24"/>
        </w:rPr>
        <w:t>4. Discussion</w:t>
      </w:r>
    </w:p>
    <w:p>
      <w:pPr>
        <w:spacing w:before="80" w:after="80" w:lineRule="auto" w:line="360"/>
        <w:ind w:firstLine="0"/>
        <w:jc w:val="both"/>
      </w:pPr>
      <w:r>
        <w:rPr>
          <w:rFonts w:ascii="Times New Roman" w:hAnsi="Times New Roman" w:eastAsia="宋体"/>
          <w:b w:val="0"/>
          <w:i w:val="0"/>
          <w:sz w:val="24"/>
        </w:rPr>
        <w:t>本研究在 9 组 prompt 配置、2 个生成模型、2 位 LLM 评判者以及一小组盲法专家评审样本上，评估了 LLM 辅助起草 ISO 15189 质量管理体系文件的效果。主要发现是：表现最好的 prompt 配置取决于评估层级。自动评分与 LLM 评分偏好仅含规则或骨架的极简 prompt，而在专家评审的样本中，带完整文档模板的 prompt 获得了更高的平均分。此外，全量上下文配置表现出明显的模型依赖性与运行时不稳定，两位 LLM 评判者也都系统性地高估了专家评分。综合来看，这些结果表明：LLM 可以支持 QMS 文件的起草与初步筛查，但不能取代专家审核，也不能取代由有能力的实验室人员完成的本地确认。</w:t>
      </w:r>
    </w:p>
    <w:p>
      <w:pPr>
        <w:spacing w:before="200" w:after="80" w:lineRule="auto" w:line="360"/>
        <w:jc w:val="left"/>
      </w:pPr>
      <w:r>
        <w:rPr>
          <w:rFonts w:ascii="Times New Roman" w:hAnsi="Times New Roman" w:eastAsia="宋体"/>
          <w:b/>
          <w:i w:val="0"/>
          <w:sz w:val="24"/>
        </w:rPr>
        <w:t>4.1 Prompt 精简化在 LLM 评判者层成立但在专家层不成立</w:t>
      </w:r>
    </w:p>
    <w:p>
      <w:pPr>
        <w:spacing w:before="80" w:after="80" w:lineRule="auto" w:line="360"/>
        <w:ind w:firstLine="0"/>
        <w:jc w:val="both"/>
      </w:pPr>
      <w:r>
        <w:rPr>
          <w:rFonts w:ascii="Times New Roman" w:hAnsi="Times New Roman" w:eastAsia="宋体"/>
          <w:b w:val="0"/>
          <w:i w:val="0"/>
          <w:sz w:val="24"/>
        </w:rPr>
        <w:t>在 LLM 评判者层，四成分消融给出一个明确的结论：规则成分必需［BH-adjusted p&lt;0.001］，文档骨架方向为正但未达显著［p=0.11］，详细内容与示例均未产生可检测的提升（第 3.2 节）。这与 Liu 等 [13] 报告的 lost-in-the-middle 现象一致（在长 prompt 中叠加过多上下文，反而可能分散模型注意力、降低输出质量），也与更广义的 prompt engineering 文献相符 [6]。</w:t>
      </w:r>
    </w:p>
    <w:p>
      <w:pPr>
        <w:spacing w:before="80" w:after="80" w:lineRule="auto" w:line="360"/>
        <w:ind w:firstLine="0"/>
        <w:jc w:val="both"/>
      </w:pPr>
      <w:r>
        <w:rPr>
          <w:rFonts w:ascii="Times New Roman" w:hAnsi="Times New Roman" w:eastAsia="宋体"/>
          <w:b w:val="0"/>
          <w:i w:val="0"/>
          <w:sz w:val="24"/>
        </w:rPr>
        <w:t>专家层的结果对这一结论作出了限定（第 3.5 节）。带完整文档模板的 F_template 与 G_template_rules 获得了明显更高的专家评分，而仅含骨架的 H4_sop_only 约低 1 分（每个配置样本极小，仅为探索性观察）。一个可能的解释是：模型自身的知识并不能可靠覆盖 ISO 15189:2022 与 CNAS-CL02:2023 所要求的临床操作细节——在本研究的任务中，包括急诊样本处理、患者自采样本的接收、样本运送人员的资格要求，以及详细的样本拒收标准。当这些内容未在 system prompt 中明确给出时，模型往往回退至通用的程序化表述：这类表述虽能满足结构与术语层面的合规（自动评分与 LLM 评判者最易识别的两个维度，第 3.6 节），却缺乏拟提交认可的文件所要求的实际可操作性。因此，prompt 精简适用于仅由 LLM 评分的快速起草场景；但若文件需要通过专家审核、用于正式的认可申请，则必须采用带完整文档模板的 prompt。</w:t>
      </w:r>
    </w:p>
    <w:p>
      <w:pPr>
        <w:spacing w:before="200" w:after="80" w:lineRule="auto" w:line="360"/>
        <w:jc w:val="left"/>
      </w:pPr>
      <w:r>
        <w:rPr>
          <w:rFonts w:ascii="Times New Roman" w:hAnsi="Times New Roman" w:eastAsia="宋体"/>
          <w:b/>
          <w:i w:val="0"/>
          <w:sz w:val="24"/>
        </w:rPr>
        <w:t>4.2 全量上下文陷阱的模型依赖性</w:t>
      </w:r>
    </w:p>
    <w:p>
      <w:pPr>
        <w:spacing w:before="80" w:after="80" w:lineRule="auto" w:line="360"/>
        <w:ind w:firstLine="0"/>
        <w:jc w:val="both"/>
      </w:pPr>
      <w:r>
        <w:rPr>
          <w:rFonts w:ascii="Times New Roman" w:hAnsi="Times New Roman" w:eastAsia="宋体"/>
          <w:b w:val="0"/>
          <w:i w:val="0"/>
          <w:sz w:val="24"/>
        </w:rPr>
        <w:t>带完整文档模板的配置虽能提升专家评分（第 4.1 节），但若模型缺乏稳定的长上下文处理能力，一味加长 prompt 反而可能适得其反。C_full（~56,000 tokens）看似最稳妥——它纳入了所有可能相关的材料，符合“上下文越多越可靠”的直觉。但数据显示，这一直觉在两个模型上并不一致：同为 C_full，Claude 的跨评均分为 3.22–4.56，GPT-5.4 却只有 1.40–1.84，并伴随 第 3.3 节 记录的三类失败（指令遵循衰退、结构错乱、条款引用混乱）。一个合理的解释（与 Liu 等 [13] 的 lost-in-the-middle 现象，以及两家厂商技术文档中的长上下文基准 [3, 4] 一致）是：在这一长度范围内，Claude 的注意力分配更稳定，而 GPT-5.4 在本研究的参数下未能在如此长的 prompt 中始终遵守 system prompt 的约束。</w:t>
      </w:r>
    </w:p>
    <w:p>
      <w:pPr>
        <w:spacing w:before="80" w:after="80" w:lineRule="auto" w:line="360"/>
        <w:ind w:firstLine="0"/>
        <w:jc w:val="both"/>
      </w:pPr>
      <w:r>
        <w:rPr>
          <w:rFonts w:ascii="Times New Roman" w:hAnsi="Times New Roman" w:eastAsia="宋体"/>
          <w:b w:val="0"/>
          <w:i w:val="0"/>
          <w:sz w:val="24"/>
        </w:rPr>
        <w:t>这带来一个方法学上的提醒：仅在单一模型上评估，会把配置本身的作用与该模型的长上下文能力、指令遵循稳定性混在一起。因此，长上下文的 QMS prompt（接近或超过 ~50,000 tokens）在部署前应先在所用的具体模型与版本上验证——长上下文行为不仅在不同模型之间差异显著，在同一模型的相邻版本之间也可能如此。</w:t>
      </w:r>
    </w:p>
    <w:p>
      <w:pPr>
        <w:spacing w:before="200" w:after="80" w:lineRule="auto" w:line="360"/>
        <w:jc w:val="left"/>
      </w:pPr>
      <w:r>
        <w:rPr>
          <w:rFonts w:ascii="Times New Roman" w:hAnsi="Times New Roman" w:eastAsia="宋体"/>
          <w:b/>
          <w:i w:val="0"/>
          <w:sz w:val="24"/>
        </w:rPr>
        <w:t>4.3 评判者偏差概貌与 LLM-as-judge 的恰当使用</w:t>
      </w:r>
    </w:p>
    <w:p>
      <w:pPr>
        <w:spacing w:before="80" w:after="80" w:lineRule="auto" w:line="360"/>
        <w:ind w:firstLine="0"/>
        <w:jc w:val="both"/>
      </w:pPr>
      <w:r>
        <w:rPr>
          <w:rFonts w:ascii="Times New Roman" w:hAnsi="Times New Roman" w:eastAsia="宋体"/>
          <w:b w:val="0"/>
          <w:i w:val="0"/>
          <w:sz w:val="24"/>
        </w:rPr>
        <w:t>本研究量化了两类评分偏差。第一类是跨评判者的方向性偏差：两位评判者都把 Claude 生成的文件评得高约 0.3 分，且主要由 C_full 驱动（第 3.4 节）；如上所述，这与经典自我偏好不符，更可能反映两个模型之间真实的质量差异，或评判者对 Claude 行文风格的共同偏好。第二类是 LLM 与专家之间的系统性偏移：两位评判者都把专家给出的合规分高估了 0.52–0.90 分（第 3.5 节）。</w:t>
      </w:r>
    </w:p>
    <w:p>
      <w:pPr>
        <w:spacing w:before="80" w:after="80" w:lineRule="auto" w:line="360"/>
        <w:ind w:firstLine="0"/>
        <w:jc w:val="both"/>
      </w:pPr>
      <w:r>
        <w:rPr>
          <w:rFonts w:ascii="Times New Roman" w:hAnsi="Times New Roman" w:eastAsia="宋体"/>
          <w:b w:val="0"/>
          <w:i w:val="0"/>
          <w:sz w:val="24"/>
        </w:rPr>
        <w:t>这两类偏差对实践的指引是：Claude 评判者与专家排序为中等一致［ICC(3,1)=0.548］，提示它或可作为大规模生成中的初筛工具，在专家审阅前先筛除明显低质量的输出；但该系数的 95% CI 跨过 0（n=10，见第 3.5 节），这一用途尚需更大样本确证。GPT 评判者与专家一致性较差且不显著［ICC(3,1)=0.217，p=0.26］，不适合用作专家评分的替代。对于拟提交认可、纳入正式 QMS 体系或投入实际使用的文件，专家终审仍不可或缺。这些偏差在配置层面的具体含义见第 4.4 节（Table 5）。</w:t>
      </w:r>
    </w:p>
    <w:p>
      <w:pPr>
        <w:spacing w:before="200" w:after="80" w:lineRule="auto" w:line="360"/>
        <w:jc w:val="left"/>
      </w:pPr>
      <w:r>
        <w:rPr>
          <w:rFonts w:ascii="Times New Roman" w:hAnsi="Times New Roman" w:eastAsia="宋体"/>
          <w:b/>
          <w:i w:val="0"/>
          <w:sz w:val="24"/>
        </w:rPr>
        <w:t>4.4 按使用场景分层的初步配置指引</w:t>
      </w:r>
    </w:p>
    <w:p>
      <w:pPr>
        <w:spacing w:before="80" w:after="80" w:lineRule="auto" w:line="360"/>
        <w:ind w:firstLine="0"/>
        <w:jc w:val="both"/>
      </w:pPr>
      <w:r>
        <w:rPr>
          <w:rFonts w:ascii="Times New Roman" w:hAnsi="Times New Roman" w:eastAsia="宋体"/>
          <w:b w:val="0"/>
          <w:i w:val="0"/>
          <w:sz w:val="24"/>
        </w:rPr>
        <w:t>综合三层评估，我们把主要使用场景下的初步配置指引汇总于 Table 5。关键的取舍（第 3.5 节、第 3.6 节）在于：token 效率最高的配置在 LLM 评判者层得分最高，却缺少贴合临床实际操作的细节，难以满足正式送审要求；而带完整文档模板的配置虽在该层得分较低，专家评分却最高。</w:t>
      </w:r>
    </w:p>
    <w:p>
      <w:pPr>
        <w:spacing w:before="120" w:after="40" w:lineRule="auto" w:line="360"/>
        <w:ind w:firstLine="0"/>
        <w:jc w:val="center"/>
      </w:pPr>
      <w:r>
        <w:rPr>
          <w:rFonts w:ascii="Times New Roman" w:hAnsi="Times New Roman" w:eastAsia="宋体"/>
          <w:b/>
          <w:i w:val="0"/>
          <w:sz w:val="24"/>
        </w:rPr>
        <w:t>Table 5. 按使用场景分层的初步配置指引。</w:t>
      </w:r>
    </w:p>
    <w:tbl>
      <w:tblPr>
        <w:tblW w:type="auto" w:w="0"/>
        <w:jc w:val="center"/>
        <w:tblLayout w:type="autofit"/>
        <w:tblLook w:firstColumn="1" w:firstRow="1" w:lastColumn="0" w:lastRow="0" w:noHBand="0" w:noVBand="1" w:val="04A0"/>
      </w:tblPr>
      <w:tblGrid>
        <w:gridCol w:w="1768"/>
        <w:gridCol w:w="1768"/>
        <w:gridCol w:w="1768"/>
        <w:gridCol w:w="1768"/>
        <w:gridCol w:w="1768"/>
      </w:tblGrid>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使用场景</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初步配置</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Tokens</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依据</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权衡</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快速生成首稿；内部迭代</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H4_sop_only 或 E_rules_v2</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~1,000–2,000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LLM 评判者层近最优；token 效率最高</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需人工补充临床细节</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多 SOP 批量起草</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H4_sop_only 或 H3_skeleton</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~2,000–5,000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任务特定骨架 + 规则</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需人工补充临床细节</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正式 CNAS 送审文件</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G_template_rules</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~16,000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专家评分居前三；跨模型稳健</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较高 token 成本</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完整质量手册</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F_template 或 G_template_rules</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~15,000–16,000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专家评分最高</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较高 token 成本</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不推荐</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C_full</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~56,000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GPT-5.4 生成下崩溃；去偏后排名垫底</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不推荐</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A_bare、B_simple</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0–~300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prompt 约束不足；低于实际合规基线</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w:t>
            </w:r>
          </w:p>
        </w:tc>
      </w:tr>
    </w:tbl>
    <w:p/>
    <w:p>
      <w:pPr>
        <w:spacing w:before="80" w:after="80" w:lineRule="auto" w:line="360"/>
        <w:ind w:firstLine="0"/>
        <w:jc w:val="both"/>
      </w:pPr>
      <w:r>
        <w:rPr>
          <w:rFonts w:ascii="Times New Roman" w:hAnsi="Times New Roman" w:eastAsia="宋体"/>
          <w:b w:val="0"/>
          <w:i w:val="0"/>
          <w:sz w:val="24"/>
        </w:rPr>
        <w:t>基于本研究数据，可归纳出一条完整的实践流程：(i) 用 H4_sop_only 快速生成首稿；(ii) 由人工审阅、或有针对性地再次 prompt，补充贴合临床实际操作的细节；(iii) 用 G_template_rules 重新生成或精修，得到拟提交认可的最终文件。需要强调的是，Table 5 中所有配置生成的都只是参考初稿，均须经实验室人员改写与专家终审后方可用于认可，二者的区别只在初稿的完整度，而非是否需要专家复核。各配置所需的人工返工量本研究未作量化，是后续工作的方向。</w:t>
      </w:r>
    </w:p>
    <w:p>
      <w:pPr>
        <w:spacing w:before="200" w:after="80" w:lineRule="auto" w:line="360"/>
        <w:jc w:val="left"/>
      </w:pPr>
      <w:r>
        <w:rPr>
          <w:rFonts w:ascii="Times New Roman" w:hAnsi="Times New Roman" w:eastAsia="宋体"/>
          <w:b/>
          <w:i w:val="0"/>
          <w:sz w:val="24"/>
        </w:rPr>
        <w:t>4.5 ISO 15189 人员能力要求框架下的 LLM 辅助</w:t>
      </w:r>
    </w:p>
    <w:p>
      <w:pPr>
        <w:spacing w:before="80" w:after="80" w:lineRule="auto" w:line="360"/>
        <w:ind w:firstLine="0"/>
        <w:jc w:val="both"/>
      </w:pPr>
      <w:r>
        <w:rPr>
          <w:rFonts w:ascii="Times New Roman" w:hAnsi="Times New Roman" w:eastAsia="宋体"/>
          <w:b w:val="0"/>
          <w:i w:val="0"/>
          <w:sz w:val="24"/>
        </w:rPr>
        <w:t>QMS 文件的起草并不是单纯的事务性产出，而是实验室人员建立责任意识与风险意识的过程。如果完全交由 LLM 代劳，实验室人员会逐渐丧失文本撰写能力，也难以对 ISO 15189 的整个过程形成深刻理解。因此，我们将人工监督视为 LLM 在此场景下应用的约束条件。ISO 15189:2022 要求的是有能力的人员和完整的检验过程，而不只是格式规整的文件；本研究的数据说明了 LLM 输出与这一要求的距离：LLM 评判者把专家评定的合规度高估了 0.52–0.90 分。这一立场与近期形成的共识一致：在医疗质量管理中，LLM 应限于以历史数据为基础、且在强制性人工核验下完成的事务性任务，自主运行尚不成熟 [14]。因此，我们将 LLM 辅助定位为一种提效工具：最终的撰写、审核与批准仍由合格人员负责，而它在起草环节节省下来的时间，可投入到 ISO 15189 更重视的审核、确认与持续改进等高阶活动中。</w:t>
      </w:r>
    </w:p>
    <w:p>
      <w:pPr>
        <w:spacing w:before="200" w:after="80" w:lineRule="auto" w:line="360"/>
        <w:jc w:val="left"/>
      </w:pPr>
      <w:r>
        <w:rPr>
          <w:rFonts w:ascii="Times New Roman" w:hAnsi="Times New Roman" w:eastAsia="宋体"/>
          <w:b/>
          <w:i w:val="0"/>
          <w:sz w:val="24"/>
        </w:rPr>
        <w:t>4.6 局限性</w:t>
      </w:r>
    </w:p>
    <w:p>
      <w:pPr>
        <w:spacing w:before="80" w:after="80" w:lineRule="auto" w:line="360"/>
        <w:ind w:firstLine="0"/>
        <w:jc w:val="both"/>
      </w:pPr>
      <w:r>
        <w:rPr>
          <w:rFonts w:ascii="Times New Roman" w:hAnsi="Times New Roman" w:eastAsia="宋体"/>
          <w:b w:val="0"/>
          <w:i w:val="0"/>
          <w:sz w:val="24"/>
        </w:rPr>
        <w:t>本研究存在若干局限。第一，专家评审的样本量小：3 位内审员仅评估了 10 份文件，每个配置 1–2 份。所评文件全部是 Claude 生成的 A 类程序文件，未纳入任何 GPT 生成的文件，也未纳入 B 类或 C 类文件。因此，专家层的结果只能作为探索性的校准，而非统计上稳健的配置排名。</w:t>
      </w:r>
    </w:p>
    <w:p>
      <w:pPr>
        <w:spacing w:before="80" w:after="80" w:lineRule="auto" w:line="360"/>
        <w:ind w:firstLine="0"/>
        <w:jc w:val="both"/>
      </w:pPr>
      <w:r>
        <w:rPr>
          <w:rFonts w:ascii="Times New Roman" w:hAnsi="Times New Roman" w:eastAsia="宋体"/>
          <w:b w:val="0"/>
          <w:i w:val="0"/>
          <w:sz w:val="24"/>
        </w:rPr>
        <w:t>第二，3 位专家评分员均来自同一单位，且三人均为本文作者。尽管采用了盲法与独立评分，但评分员之间很高的一致性可能高估了跨单位的可重复性。</w:t>
      </w:r>
    </w:p>
    <w:p>
      <w:pPr>
        <w:spacing w:before="80" w:after="80" w:lineRule="auto" w:line="360"/>
        <w:ind w:firstLine="0"/>
        <w:jc w:val="both"/>
      </w:pPr>
      <w:r>
        <w:rPr>
          <w:rFonts w:ascii="Times New Roman" w:hAnsi="Times New Roman" w:eastAsia="宋体"/>
          <w:b w:val="0"/>
          <w:i w:val="0"/>
          <w:sz w:val="24"/>
        </w:rPr>
        <w:t>第三，跨模型比较受限。GPT-5.4 的生成只覆盖三项任务，且两个模型经由不同的运行环境调用，生成与评判参数并不一致。因此，观察到的全量上下文性能下滑，应理解为依赖于模型与运行环境，而不是任一模型家族的普遍属性。</w:t>
      </w:r>
    </w:p>
    <w:p>
      <w:pPr>
        <w:spacing w:before="80" w:after="80" w:lineRule="auto" w:line="360"/>
        <w:ind w:firstLine="0"/>
        <w:jc w:val="both"/>
      </w:pPr>
      <w:r>
        <w:rPr>
          <w:rFonts w:ascii="Times New Roman" w:hAnsi="Times New Roman" w:eastAsia="宋体"/>
          <w:b w:val="0"/>
          <w:i w:val="0"/>
          <w:sz w:val="24"/>
        </w:rPr>
        <w:t>第四，部分 Claude 评判者评分仅保留为组平均值，而非逐份文件的 JSON 记录，这限制了对 2 × 2 评判者–生成者矩阵中一部分数据的独立再分析。</w:t>
      </w:r>
    </w:p>
    <w:p>
      <w:pPr>
        <w:spacing w:before="80" w:after="80" w:lineRule="auto" w:line="360"/>
        <w:ind w:firstLine="0"/>
        <w:jc w:val="both"/>
      </w:pPr>
      <w:r>
        <w:rPr>
          <w:rFonts w:ascii="Times New Roman" w:hAnsi="Times New Roman" w:eastAsia="宋体"/>
          <w:b w:val="0"/>
          <w:i w:val="0"/>
          <w:sz w:val="24"/>
        </w:rPr>
        <w:t>第五，任务集聚焦于体系层面的 QMS 文件，未纳入技术要求较高的文件，例如检验方法确认或验证报告、测量不确定度评定程序、生物参考区间验证，以及危急值报告。推广到这类文件需要另行验证。此外，全部文件均以中文生成与评估，因此本文报告的配置效应与偏差模式在英文及其他语言下尚未得到验证。</w:t>
      </w:r>
    </w:p>
    <w:p>
      <w:pPr>
        <w:spacing w:before="80" w:after="80" w:lineRule="auto" w:line="360"/>
        <w:ind w:firstLine="0"/>
        <w:jc w:val="both"/>
      </w:pPr>
      <w:r>
        <w:rPr>
          <w:rFonts w:ascii="Times New Roman" w:hAnsi="Times New Roman" w:eastAsia="宋体"/>
          <w:b w:val="0"/>
          <w:i w:val="0"/>
          <w:sz w:val="24"/>
        </w:rPr>
        <w:t>最后，本研究的评分量规没有直接评估患者安全风险、一线人员的本地可执行性，以及模型编造实验室特有参数的风险。后续研究应采用规模更大的多中心专家组，纳入配对的 GPT 生成样本，覆盖技术类与检验后过程文件，统一模型参数，并评估返工负担与患者安全影响。</w:t>
      </w:r>
    </w:p>
    <w:p>
      <w:pPr>
        <w:spacing w:before="280" w:after="120" w:lineRule="auto" w:line="360"/>
        <w:jc w:val="left"/>
      </w:pPr>
      <w:r>
        <w:rPr>
          <w:rFonts w:ascii="Times New Roman" w:hAnsi="Times New Roman" w:eastAsia="宋体"/>
          <w:b/>
          <w:i w:val="0"/>
          <w:sz w:val="24"/>
        </w:rPr>
        <w:t>5. Conclusions</w:t>
      </w:r>
    </w:p>
    <w:p>
      <w:pPr>
        <w:spacing w:before="80" w:after="80" w:lineRule="auto" w:line="360"/>
        <w:ind w:firstLine="0"/>
        <w:jc w:val="both"/>
      </w:pPr>
      <w:r>
        <w:rPr>
          <w:rFonts w:ascii="Times New Roman" w:hAnsi="Times New Roman" w:eastAsia="宋体"/>
          <w:b w:val="0"/>
          <w:i w:val="0"/>
          <w:sz w:val="24"/>
        </w:rPr>
        <w:t>LLM 辅助 ISO 15189 QMS 文件生成的最优 prompt 配置随评估层级而异：LLM 评判者偏好的 H4_sop_only 在专家评估下跌至第 5，带完整文档模板的 F_template、H2_keep_examples 与 G_template_rules 排名最高（Table 4）。但无论哪类配置，生成的都只是供参考的初稿，不能直接提交认可。极简 prompt 给出快速起步的简要框架；带完整文档模板的配置给出更贴近送审形态的工作草稿，其价值在于一份可靠的文档骨架——真正决定文件能否用于认可的内容（本实验室的质控数据、患者数据分布、能力验证历史结果）必须由具备能力的人员填入并解读，因为 LLM 不掌握这些数据。而上下文并非越全越稳：载入全部参考材料的 C_full（~56,000 tokens）反而宜谨慎使用，尤其当生成模型为 GPT-5.4 时（该失败模式仅见于自动评分与 LLM 评判者两层）。评估环节同样离不开人：LLM-as-judge 只宜承担专家审阅前的大批量初筛，Claude 评判者初步可胜任这一角色［ICC(3,1)=0.548，95% CI 跨过 0，n=10］，GPT-5.4 评判者则不能［ICC(3,1)=0.217］。归根结底，ISO 15189 体系文件的编写本身就是实验室人员学习过程与风险、建立责任意识、体现能力的过程，LLM 能接手的只是其中事务性的文字工作——专家终审仍不可或缺。</w:t>
      </w:r>
    </w:p>
    <w:p>
      <w:pPr>
        <w:spacing w:before="280" w:after="120" w:lineRule="auto" w:line="360"/>
        <w:jc w:val="left"/>
      </w:pPr>
      <w:r>
        <w:rPr>
          <w:rFonts w:ascii="Times New Roman" w:hAnsi="Times New Roman" w:eastAsia="宋体"/>
          <w:b/>
          <w:i w:val="0"/>
          <w:sz w:val="24"/>
        </w:rPr>
        <w:t>申报声明</w:t>
      </w:r>
    </w:p>
    <w:p>
      <w:pPr>
        <w:spacing w:before="80" w:after="80" w:lineRule="auto" w:line="360"/>
        <w:ind w:firstLine="0"/>
        <w:jc w:val="both"/>
      </w:pPr>
      <w:r>
        <w:rPr>
          <w:rFonts w:ascii="Times New Roman" w:hAnsi="Times New Roman" w:eastAsia="宋体"/>
          <w:b/>
          <w:i w:val="0"/>
          <w:sz w:val="24"/>
        </w:rPr>
        <w:t>Research funding</w:t>
      </w:r>
      <w:r>
        <w:rPr>
          <w:rFonts w:ascii="Times New Roman" w:hAnsi="Times New Roman" w:eastAsia="宋体"/>
          <w:b w:val="0"/>
          <w:i w:val="0"/>
          <w:sz w:val="24"/>
        </w:rPr>
        <w:t>：本研究未接受外部研究资助。</w:t>
      </w:r>
    </w:p>
    <w:p>
      <w:pPr>
        <w:spacing w:before="80" w:after="80" w:lineRule="auto" w:line="360"/>
        <w:ind w:firstLine="0"/>
        <w:jc w:val="both"/>
      </w:pPr>
      <w:r>
        <w:rPr>
          <w:rFonts w:ascii="Times New Roman" w:hAnsi="Times New Roman" w:eastAsia="宋体"/>
          <w:b/>
          <w:i w:val="0"/>
          <w:sz w:val="24"/>
        </w:rPr>
        <w:t>Author contributions</w:t>
      </w:r>
      <w:r>
        <w:rPr>
          <w:rFonts w:ascii="Times New Roman" w:hAnsi="Times New Roman" w:eastAsia="宋体"/>
          <w:b w:val="0"/>
          <w:i w:val="0"/>
          <w:sz w:val="24"/>
        </w:rPr>
        <w:t>：刘斯迪负责研究的概念与设计、全部实验的执行、数据分析以及稿件的撰写与修改；李冬冬负责研究的监督指导与稿件的批判性审阅，并作为通讯作者对文章内容负责；杨岚与陈欣盈作为独立评分员参与盲法专家评审（分别为 Rater 2 与 Rater 3）；吴丹协助数据整理。全体作者均已阅读并同意最终稿。</w:t>
      </w:r>
    </w:p>
    <w:p>
      <w:pPr>
        <w:spacing w:before="80" w:after="80" w:lineRule="auto" w:line="360"/>
        <w:ind w:firstLine="0"/>
        <w:jc w:val="both"/>
      </w:pPr>
      <w:r>
        <w:rPr>
          <w:rFonts w:ascii="Times New Roman" w:hAnsi="Times New Roman" w:eastAsia="宋体"/>
          <w:b/>
          <w:i w:val="0"/>
          <w:sz w:val="24"/>
        </w:rPr>
        <w:t>Competing interests</w:t>
      </w:r>
      <w:r>
        <w:rPr>
          <w:rFonts w:ascii="Times New Roman" w:hAnsi="Times New Roman" w:eastAsia="宋体"/>
          <w:b w:val="0"/>
          <w:i w:val="0"/>
          <w:sz w:val="24"/>
        </w:rPr>
        <w:t>：全体作者均声明不存在任何利益冲突。3 位专家评分员与 Anthropic、OpenAI 及其他 LLM 提供商均无商业、科研或咨询关系，也未接受这些机构的资金或实物资助。</w:t>
      </w:r>
    </w:p>
    <w:p>
      <w:pPr>
        <w:spacing w:before="80" w:after="80" w:lineRule="auto" w:line="360"/>
        <w:ind w:firstLine="0"/>
        <w:jc w:val="both"/>
      </w:pPr>
      <w:r>
        <w:rPr>
          <w:rFonts w:ascii="Times New Roman" w:hAnsi="Times New Roman" w:eastAsia="宋体"/>
          <w:b/>
          <w:i w:val="0"/>
          <w:sz w:val="24"/>
        </w:rPr>
        <w:t>Informed consent</w:t>
      </w:r>
      <w:r>
        <w:rPr>
          <w:rFonts w:ascii="Times New Roman" w:hAnsi="Times New Roman" w:eastAsia="宋体"/>
          <w:b w:val="0"/>
          <w:i w:val="0"/>
          <w:sz w:val="24"/>
        </w:rPr>
        <w:t>：本研究不涉及患者或人体受试者。在 Rater 2 与 Rater 3（杨岚、陈欣盈，现为共同作者）参与盲法专家评审前已获得书面知情同意。同意书载明了研究目的、评分的预期用途、数据处理与去标识化程序，以及随时退出的权利。</w:t>
      </w:r>
    </w:p>
    <w:p>
      <w:pPr>
        <w:spacing w:before="80" w:after="80" w:lineRule="auto" w:line="360"/>
        <w:ind w:firstLine="0"/>
        <w:jc w:val="both"/>
      </w:pPr>
      <w:r>
        <w:rPr>
          <w:rFonts w:ascii="Times New Roman" w:hAnsi="Times New Roman" w:eastAsia="宋体"/>
          <w:b/>
          <w:i w:val="0"/>
          <w:sz w:val="24"/>
        </w:rPr>
        <w:t>Ethical approval</w:t>
      </w:r>
      <w:r>
        <w:rPr>
          <w:rFonts w:ascii="Times New Roman" w:hAnsi="Times New Roman" w:eastAsia="宋体"/>
          <w:b w:val="0"/>
          <w:i w:val="0"/>
          <w:sz w:val="24"/>
        </w:rPr>
        <w:t>：本研究不需要正式的伦理审批，因不涉及患者数据、生物样本或人体干预。所生成与所评估的 QMS 文件使用虚构占位姓名（如“Dr Li”、“Dr Zhang”）且不含任何可识别个人信息。评分员间数据集作为方法学研究自知情同意志愿者处采集；评分员层面的可识别数据在公开数据集中以编码标签（Rater 1 / Rater 2 / Rater 3）存储。</w:t>
      </w:r>
    </w:p>
    <w:p>
      <w:pPr>
        <w:spacing w:before="80" w:after="80" w:lineRule="auto" w:line="360"/>
        <w:ind w:firstLine="0"/>
        <w:jc w:val="both"/>
      </w:pPr>
      <w:r>
        <w:rPr>
          <w:rFonts w:ascii="Times New Roman" w:hAnsi="Times New Roman" w:eastAsia="宋体"/>
          <w:b/>
          <w:i w:val="0"/>
          <w:sz w:val="24"/>
        </w:rPr>
        <w:t>Data availability</w:t>
      </w:r>
      <w:r>
        <w:rPr>
          <w:rFonts w:ascii="Times New Roman" w:hAnsi="Times New Roman" w:eastAsia="宋体"/>
          <w:b w:val="0"/>
          <w:i w:val="0"/>
          <w:sz w:val="24"/>
        </w:rPr>
        <w:t>：486 份生成文件、864 条 LLM-as-judge 评分、30 条盲法专家评分以及全部分析代码已在 GitHub 公开（https://github.com/stttttte/iso15189-llm-config-experiment），采用双许可证：代码 MIT，数据 CC BY 4.0。版本化快照已在 Zenodo 归档（DOI：10.5281/zenodo.20091463；https://doi.org/10.5281/zenodo.20091463）。</w:t>
      </w:r>
    </w:p>
    <w:p>
      <w:pPr>
        <w:spacing w:before="280" w:after="120" w:lineRule="auto" w:line="360"/>
        <w:jc w:val="left"/>
      </w:pPr>
      <w:r>
        <w:rPr>
          <w:rFonts w:ascii="Times New Roman" w:hAnsi="Times New Roman" w:eastAsia="宋体"/>
          <w:b/>
          <w:i w:val="0"/>
          <w:sz w:val="24"/>
        </w:rPr>
        <w:t>致谢</w:t>
      </w:r>
    </w:p>
    <w:p>
      <w:pPr>
        <w:spacing w:before="80" w:after="80" w:lineRule="auto" w:line="360"/>
        <w:ind w:firstLine="0"/>
        <w:jc w:val="both"/>
      </w:pPr>
      <w:r>
        <w:rPr>
          <w:rFonts w:ascii="Times New Roman" w:hAnsi="Times New Roman" w:eastAsia="宋体"/>
          <w:b/>
          <w:i w:val="0"/>
          <w:sz w:val="24"/>
        </w:rPr>
        <w:t>AI 工具使用披露。</w:t>
      </w:r>
      <w:r>
        <w:rPr>
          <w:rFonts w:ascii="Times New Roman" w:hAnsi="Times New Roman" w:eastAsia="宋体"/>
          <w:b w:val="0"/>
          <w:i w:val="0"/>
          <w:sz w:val="24"/>
        </w:rPr>
        <w:t xml:space="preserve"> 依据 De Gruyter Brill 出版社《AI Policy for Authors》的要求，作者就本研究使用生成式人工智能（AI）工具的情况披露如下。</w:t>
      </w:r>
    </w:p>
    <w:p>
      <w:pPr>
        <w:spacing w:before="80" w:after="80" w:lineRule="auto" w:line="360"/>
        <w:ind w:firstLine="0"/>
        <w:jc w:val="both"/>
      </w:pPr>
      <w:r>
        <w:rPr>
          <w:rFonts w:ascii="Times New Roman" w:hAnsi="Times New Roman" w:eastAsia="宋体"/>
          <w:b w:val="0"/>
          <w:i w:val="0"/>
          <w:sz w:val="24"/>
        </w:rPr>
        <w:t>（1）</w:t>
      </w:r>
      <w:r>
        <w:rPr>
          <w:rFonts w:ascii="Times New Roman" w:hAnsi="Times New Roman" w:eastAsia="宋体"/>
          <w:b/>
          <w:i w:val="0"/>
          <w:sz w:val="24"/>
        </w:rPr>
        <w:t>AI 作为研究对象。</w:t>
      </w:r>
      <w:r>
        <w:rPr>
          <w:rFonts w:ascii="Times New Roman" w:hAnsi="Times New Roman" w:eastAsia="宋体"/>
          <w:b w:val="0"/>
          <w:i w:val="0"/>
          <w:sz w:val="24"/>
        </w:rPr>
        <w:t xml:space="preserve"> 本研究使用 Claude Opus 4.6（Anthropic）与 GPT-5.4（OpenAI，经 AIHubMix 代理接入）生成 486 份 ISO 15189:2022 QMS 文件作为主要数据集；这些文件是研究考察的实验对象，不是伪造的临床数据，也未用于真实临床。</w:t>
      </w:r>
    </w:p>
    <w:p>
      <w:pPr>
        <w:spacing w:before="80" w:after="80" w:lineRule="auto" w:line="360"/>
        <w:ind w:firstLine="0"/>
        <w:jc w:val="both"/>
      </w:pPr>
      <w:r>
        <w:rPr>
          <w:rFonts w:ascii="Times New Roman" w:hAnsi="Times New Roman" w:eastAsia="宋体"/>
          <w:b w:val="0"/>
          <w:i w:val="0"/>
          <w:sz w:val="24"/>
        </w:rPr>
        <w:t>（2）</w:t>
      </w:r>
      <w:r>
        <w:rPr>
          <w:rFonts w:ascii="Times New Roman" w:hAnsi="Times New Roman" w:eastAsia="宋体"/>
          <w:b/>
          <w:i w:val="0"/>
          <w:sz w:val="24"/>
        </w:rPr>
        <w:t>AI 作为评审员。</w:t>
      </w:r>
      <w:r>
        <w:rPr>
          <w:rFonts w:ascii="Times New Roman" w:hAnsi="Times New Roman" w:eastAsia="宋体"/>
          <w:b w:val="0"/>
          <w:i w:val="0"/>
          <w:sz w:val="24"/>
        </w:rPr>
        <w:t xml:space="preserve"> 同样两个模型担任 LLM 评判者，产生第 2.3 节所述的 864 条文件级评分（GPT 评判者 486 条覆盖全部文件，Claude 评判者 378 条覆盖 77.8%）；Claude 评审随配置集扩展分批进行，部分批次仅保留组均值（第 2.3.2 节与第 4.6 节）。完整 prompt、模型参数与逐文件评分数据已公开于研究仓库（https://github.com/stttttte/iso15189-llm-config-experiment）。</w:t>
      </w:r>
    </w:p>
    <w:p>
      <w:pPr>
        <w:spacing w:before="80" w:after="80" w:lineRule="auto" w:line="360"/>
        <w:ind w:firstLine="0"/>
        <w:jc w:val="both"/>
      </w:pPr>
      <w:r>
        <w:rPr>
          <w:rFonts w:ascii="Times New Roman" w:hAnsi="Times New Roman" w:eastAsia="宋体"/>
          <w:b w:val="0"/>
          <w:i w:val="0"/>
          <w:sz w:val="24"/>
        </w:rPr>
        <w:t>（3）</w:t>
      </w:r>
      <w:r>
        <w:rPr>
          <w:rFonts w:ascii="Times New Roman" w:hAnsi="Times New Roman" w:eastAsia="宋体"/>
          <w:b/>
          <w:i w:val="0"/>
          <w:sz w:val="24"/>
        </w:rPr>
        <w:t>AI 辅助稿件起草。</w:t>
      </w:r>
      <w:r>
        <w:rPr>
          <w:rFonts w:ascii="Times New Roman" w:hAnsi="Times New Roman" w:eastAsia="宋体"/>
          <w:b w:val="0"/>
          <w:i w:val="0"/>
          <w:sz w:val="24"/>
        </w:rPr>
        <w:t xml:space="preserve"> 第一作者使用 Claude Code（Claude Opus 4.6）协助大纲撰写、初稿起草、表格整理与数据可视化代码生成；所有 AI 建议的内容、措辞与分析代码均经作者批判性审阅、修改与验证，作者对最终稿件的全部陈述、解释与结论承担全部责任。</w:t>
      </w:r>
    </w:p>
    <w:p>
      <w:pPr>
        <w:spacing w:before="80" w:after="80" w:lineRule="auto" w:line="360"/>
        <w:ind w:firstLine="0"/>
        <w:jc w:val="both"/>
      </w:pPr>
      <w:r>
        <w:rPr>
          <w:rFonts w:ascii="Times New Roman" w:hAnsi="Times New Roman" w:eastAsia="宋体"/>
          <w:b w:val="0"/>
          <w:i w:val="0"/>
          <w:sz w:val="24"/>
        </w:rPr>
        <w:t>（4）</w:t>
      </w:r>
      <w:r>
        <w:rPr>
          <w:rFonts w:ascii="Times New Roman" w:hAnsi="Times New Roman" w:eastAsia="宋体"/>
          <w:b/>
          <w:i w:val="0"/>
          <w:sz w:val="24"/>
        </w:rPr>
        <w:t>无 AI 生成图像或被操纵数据。</w:t>
      </w:r>
      <w:r>
        <w:rPr>
          <w:rFonts w:ascii="Times New Roman" w:hAnsi="Times New Roman" w:eastAsia="宋体"/>
          <w:b w:val="0"/>
          <w:i w:val="0"/>
          <w:sz w:val="24"/>
        </w:rPr>
        <w:t xml:space="preserve"> 全部 4 张图（Figure 1–4）用 matplotlib 3.7.1（Python 3.11）从 JSON 原始数值数据绘制；未使用任何生成式 AI 工具创建、修改或操纵图像或数值数据。</w:t>
      </w:r>
    </w:p>
    <w:p>
      <w:pPr>
        <w:spacing w:before="80" w:after="80" w:lineRule="auto" w:line="360"/>
        <w:ind w:firstLine="0"/>
        <w:jc w:val="both"/>
      </w:pPr>
      <w:r>
        <w:rPr>
          <w:rFonts w:ascii="Times New Roman" w:hAnsi="Times New Roman" w:eastAsia="宋体"/>
          <w:b w:val="0"/>
          <w:i w:val="0"/>
          <w:sz w:val="24"/>
        </w:rPr>
        <w:t>（5）</w:t>
      </w:r>
      <w:r>
        <w:rPr>
          <w:rFonts w:ascii="Times New Roman" w:hAnsi="Times New Roman" w:eastAsia="宋体"/>
          <w:b/>
          <w:i w:val="0"/>
          <w:sz w:val="24"/>
        </w:rPr>
        <w:t>责任声明。</w:t>
      </w:r>
      <w:r>
        <w:rPr>
          <w:rFonts w:ascii="Times New Roman" w:hAnsi="Times New Roman" w:eastAsia="宋体"/>
          <w:b w:val="0"/>
          <w:i w:val="0"/>
          <w:sz w:val="24"/>
        </w:rPr>
        <w:t xml:space="preserve"> 作者确认符合 De Gruyter Brill《AI Policy for Authors》的各项条款，并依照 ICMJE 作者身份标准对本稿件全部内容承担全部责任。</w:t>
      </w:r>
    </w:p>
    <w:p>
      <w:pPr>
        <w:spacing w:before="280" w:after="120" w:lineRule="auto" w:line="360"/>
        <w:jc w:val="left"/>
      </w:pPr>
      <w:r>
        <w:rPr>
          <w:rFonts w:ascii="Times New Roman" w:hAnsi="Times New Roman" w:eastAsia="宋体"/>
          <w:b/>
          <w:i w:val="0"/>
          <w:sz w:val="24"/>
        </w:rPr>
        <w:t>Figure Legends</w:t>
      </w:r>
    </w:p>
    <w:p>
      <w:pPr>
        <w:spacing w:before="80" w:after="40" w:lineRule="auto" w:line="360"/>
        <w:ind w:firstLine="0"/>
        <w:jc w:val="center"/>
      </w:pPr>
      <w:r>
        <w:rPr>
          <w:rFonts w:ascii="Segoe UI Symbol" w:hAnsi="Segoe UI Symbol" w:eastAsia="宋体"/>
          <w:b/>
          <w:i w:val="0"/>
          <w:sz w:val="21"/>
        </w:rPr>
        <w:t>Figure 1. 本研究评估的 9 个 prompt 配置。</w:t>
      </w:r>
    </w:p>
    <w:p>
      <w:pPr>
        <w:spacing w:before="40" w:after="120" w:lineRule="auto" w:line="240"/>
        <w:ind w:firstLine="0"/>
        <w:jc w:val="both"/>
      </w:pPr>
      <w:r>
        <w:rPr>
          <w:rFonts w:ascii="Segoe UI Symbol" w:hAnsi="Segoe UI Symbol" w:eastAsia="宋体"/>
          <w:b w:val="0"/>
          <w:i w:val="0"/>
          <w:sz w:val="21"/>
        </w:rPr>
        <w:t>每行为一个配置（按 prompt 体量排序）；左侧四列显示各 prompt 成分为完整纳入（✓，深色）、部分纳入（◑，浅色）或缺失（—，淡色）；右侧一列为总 system-prompt 体量，以千 token 为单位（cl100k_base tokenizer）。两种编码并不成比例：成分标记反映的是提炼后的结构化内容是否纳入，条形长度反映的是载入文本的总量。C_full 通过载入完整的原始参考语料（ISO 15189 与 CNAS 标准全文及既有文档库）获得最大 token 量，但其规则成分仅为部分纳入（◑）——显式规则嵌在原始文本中，而非以提炼后的规则集形式提供。</w:t>
      </w:r>
    </w:p>
    <w:p>
      <w:pPr>
        <w:spacing w:before="80" w:after="40" w:lineRule="auto" w:line="360"/>
        <w:ind w:firstLine="0"/>
        <w:jc w:val="center"/>
      </w:pPr>
      <w:r>
        <w:rPr>
          <w:rFonts w:ascii="Segoe UI Symbol" w:hAnsi="Segoe UI Symbol" w:eastAsia="宋体"/>
          <w:b/>
          <w:i w:val="0"/>
          <w:sz w:val="21"/>
        </w:rPr>
        <w:t>Figure 2. 四种生成器–评判者组合下的跨模型验证。</w:t>
      </w:r>
    </w:p>
    <w:p>
      <w:pPr>
        <w:spacing w:before="40" w:after="120" w:lineRule="auto" w:line="240"/>
        <w:ind w:firstLine="0"/>
        <w:jc w:val="both"/>
      </w:pPr>
      <w:r>
        <w:rPr>
          <w:rFonts w:ascii="Segoe UI Symbol" w:hAnsi="Segoe UI Symbol" w:eastAsia="宋体"/>
          <w:b w:val="0"/>
          <w:i w:val="0"/>
          <w:sz w:val="21"/>
        </w:rPr>
        <w:t>每行为一个配置；两条横向线段分别覆盖 Claude 评判者（圆点）与 GPT 评判者（三角）对 Claude 生成文件（蓝）和 GPT 生成文件（橙）的评分；分数为 A1、B1、C1 三个任务的均值（0–5 分）。所有组合都落在 3.1–4.7 区间，唯有 GPT 生成的 C_full 跌至 1.40（Claude 评判者）与 1.84（GPT 评判者），而同一配置由 Claude 生成时为 3.22–4.56。</w:t>
      </w:r>
    </w:p>
    <w:p>
      <w:pPr>
        <w:spacing w:before="80" w:after="40" w:lineRule="auto" w:line="360"/>
        <w:ind w:firstLine="0"/>
        <w:jc w:val="center"/>
      </w:pPr>
      <w:r>
        <w:rPr>
          <w:rFonts w:ascii="Segoe UI Symbol" w:hAnsi="Segoe UI Symbol" w:eastAsia="宋体"/>
          <w:b/>
          <w:i w:val="0"/>
          <w:sz w:val="21"/>
        </w:rPr>
        <w:t>Figure 3. 各 LLM 评判者与专家小组一致性的 Bland–Altman 分析（n = 10 份文件）。</w:t>
      </w:r>
    </w:p>
    <w:p>
      <w:pPr>
        <w:spacing w:before="40" w:after="120" w:lineRule="auto" w:line="240"/>
        <w:ind w:firstLine="0"/>
        <w:jc w:val="both"/>
      </w:pPr>
      <w:r>
        <w:rPr>
          <w:rFonts w:ascii="Segoe UI Symbol" w:hAnsi="Segoe UI Symbol" w:eastAsia="宋体"/>
          <w:b w:val="0"/>
          <w:i w:val="0"/>
          <w:sz w:val="21"/>
        </w:rPr>
        <w:t>每点为一份文件；横轴为专家与评判者评分的均值，纵轴为两者之差（评判者 − 专家）。实线为平均偏倚（面板 a：Claude 评判者 +0.90；面板 b：GPT 评判者 +0.52），虚线为 95% 一致性界限（均值 ± 1.96 SD）。点按配置类别着色；空心圆为无 prompt 基线。零处黑线代表完全一致；几乎所有点都位于其上方，表明两位评判者均存在系统性高估。</w:t>
      </w:r>
    </w:p>
    <w:p>
      <w:pPr>
        <w:spacing w:before="80" w:after="40" w:lineRule="auto" w:line="360"/>
        <w:ind w:firstLine="0"/>
        <w:jc w:val="center"/>
      </w:pPr>
      <w:r>
        <w:rPr>
          <w:rFonts w:ascii="Segoe UI Symbol" w:hAnsi="Segoe UI Symbol" w:eastAsia="宋体"/>
          <w:b/>
          <w:i w:val="0"/>
          <w:sz w:val="21"/>
        </w:rPr>
        <w:t>Figure 4. Token 体量、质量与评估层级间的排名反转。</w:t>
      </w:r>
    </w:p>
    <w:p>
      <w:pPr>
        <w:spacing w:before="40" w:after="120" w:lineRule="auto" w:line="240"/>
        <w:ind w:firstLine="0"/>
        <w:jc w:val="both"/>
      </w:pPr>
      <w:r>
        <w:rPr>
          <w:rFonts w:ascii="Segoe UI Symbol" w:hAnsi="Segoe UI Symbol" w:eastAsia="宋体"/>
          <w:b w:val="0"/>
          <w:i w:val="0"/>
          <w:sz w:val="21"/>
        </w:rPr>
        <w:t>(a) 专家小组（绿色方块）、Claude 评判者（橙色圆点）与 GPT 评判者（蓝色三角）的平均质量分随 system-prompt 体量（symlog 刻度）的变化，基于 n = 10 专家盲评子集；短代码标识各配置，阴影带为 token 高效区（E/H4）与专家最优区（F/G）。(b) LLM 评判者层（综合分，Table 2）与专家小组（Table 4）的配置排名对比：LLM 层第 1 的 H4_sop_only 跌至第 5，而 F_template 从第 6 升至第 1。</w:t>
      </w:r>
    </w:p>
    <w:p>
      <w:pPr>
        <w:spacing w:before="280" w:after="120" w:lineRule="auto" w:line="360"/>
        <w:jc w:val="left"/>
      </w:pPr>
      <w:r>
        <w:rPr>
          <w:rFonts w:ascii="Times New Roman" w:hAnsi="Times New Roman" w:eastAsia="宋体"/>
          <w:b/>
          <w:i w:val="0"/>
          <w:sz w:val="24"/>
        </w:rPr>
        <w:t>References</w:t>
      </w:r>
    </w:p>
    <w:p>
      <w:pPr>
        <w:spacing w:before="80" w:after="80" w:lineRule="auto" w:line="360"/>
        <w:ind w:firstLine="0"/>
        <w:jc w:val="both"/>
      </w:pPr>
      <w:r>
        <w:rPr>
          <w:rFonts w:ascii="Times New Roman" w:hAnsi="Times New Roman" w:eastAsia="宋体"/>
          <w:b w:val="0"/>
          <w:i w:val="0"/>
          <w:sz w:val="24"/>
        </w:rPr>
        <w:t>1. ISO 15189:2022. Medical laboratories — Requirements for quality and competence. Geneva: International Organization for Standardization; 2022.</w:t>
      </w:r>
    </w:p>
    <w:p>
      <w:pPr>
        <w:spacing w:before="80" w:after="80" w:lineRule="auto" w:line="360"/>
        <w:ind w:firstLine="0"/>
        <w:jc w:val="both"/>
      </w:pPr>
      <w:r>
        <w:rPr>
          <w:rFonts w:ascii="Times New Roman" w:hAnsi="Times New Roman" w:eastAsia="宋体"/>
          <w:b w:val="0"/>
          <w:i w:val="0"/>
          <w:sz w:val="24"/>
        </w:rPr>
        <w:t>2. Yang S, Zhou Y, Wang C, Luo M. The 'Double Helix' model of quality monitoring: risk mapping of quality management system during initial ISO 15189 implementation in a medical laboratory. PLoS One 2026;21:e0342129.</w:t>
      </w:r>
    </w:p>
    <w:p>
      <w:pPr>
        <w:spacing w:before="80" w:after="80" w:lineRule="auto" w:line="360"/>
        <w:ind w:firstLine="0"/>
        <w:jc w:val="both"/>
      </w:pPr>
      <w:r>
        <w:rPr>
          <w:rFonts w:ascii="Times New Roman" w:hAnsi="Times New Roman" w:eastAsia="宋体"/>
          <w:b w:val="0"/>
          <w:i w:val="0"/>
          <w:sz w:val="24"/>
        </w:rPr>
        <w:t>3. Anthropic. Claude Opus 4.6 System Card. San Francisco (CA): Anthropic; 2026. Available at: https://www.anthropic.com/claude-opus-4-6-system-card. [Accessed 9 May 2026].</w:t>
      </w:r>
    </w:p>
    <w:p>
      <w:pPr>
        <w:spacing w:before="80" w:after="80" w:lineRule="auto" w:line="360"/>
        <w:ind w:firstLine="0"/>
        <w:jc w:val="both"/>
      </w:pPr>
      <w:r>
        <w:rPr>
          <w:rFonts w:ascii="Times New Roman" w:hAnsi="Times New Roman" w:eastAsia="宋体"/>
          <w:b w:val="0"/>
          <w:i w:val="0"/>
          <w:sz w:val="24"/>
        </w:rPr>
        <w:t>4. OpenAI. GPT-5 System Card. San Francisco (CA): OpenAI; 2025. Available at: https://openai.com/index/gpt-5-system-card/. [Accessed 9 May 2026].</w:t>
      </w:r>
    </w:p>
    <w:p>
      <w:pPr>
        <w:spacing w:before="80" w:after="80" w:lineRule="auto" w:line="360"/>
        <w:ind w:firstLine="0"/>
        <w:jc w:val="both"/>
      </w:pPr>
      <w:r>
        <w:rPr>
          <w:rFonts w:ascii="Times New Roman" w:hAnsi="Times New Roman" w:eastAsia="宋体"/>
          <w:b w:val="0"/>
          <w:i w:val="0"/>
          <w:sz w:val="24"/>
        </w:rPr>
        <w:t>5. Zhao WX, Zhou K, Li J, Tang T, Wang X, Hou Y, et al. A survey of large language models. arXiv preprint 2023; arXiv:2303.18223.</w:t>
      </w:r>
    </w:p>
    <w:p>
      <w:pPr>
        <w:spacing w:before="80" w:after="80" w:lineRule="auto" w:line="360"/>
        <w:ind w:firstLine="0"/>
        <w:jc w:val="both"/>
      </w:pPr>
      <w:r>
        <w:rPr>
          <w:rFonts w:ascii="Times New Roman" w:hAnsi="Times New Roman" w:eastAsia="宋体"/>
          <w:b w:val="0"/>
          <w:i w:val="0"/>
          <w:sz w:val="24"/>
        </w:rPr>
        <w:t>6. Schulhoff S, Ilie M, Balepur N, Kahadze K, Liu A, Si C, et al. The prompt report: a systematic survey of prompting techniques. arXiv preprint 2024; arXiv:2406.06608.</w:t>
      </w:r>
    </w:p>
    <w:p>
      <w:pPr>
        <w:spacing w:before="80" w:after="80" w:lineRule="auto" w:line="360"/>
        <w:ind w:firstLine="0"/>
        <w:jc w:val="both"/>
      </w:pPr>
      <w:r>
        <w:rPr>
          <w:rFonts w:ascii="Times New Roman" w:hAnsi="Times New Roman" w:eastAsia="宋体"/>
          <w:b w:val="0"/>
          <w:i w:val="0"/>
          <w:sz w:val="24"/>
        </w:rPr>
        <w:t>7. Zheng L, Chiang WL, Sheng Y, Zhuang S, Wu Z, Zhuang Y, et al. Judging LLM-as-a-judge with MT-Bench and Chatbot Arena. In: Advances in Neural Information Processing Systems 36 (NeurIPS 2023) Datasets and Benchmarks Track. 2023.</w:t>
      </w:r>
    </w:p>
    <w:p>
      <w:pPr>
        <w:spacing w:before="80" w:after="80" w:lineRule="auto" w:line="360"/>
        <w:ind w:firstLine="0"/>
        <w:jc w:val="both"/>
      </w:pPr>
      <w:r>
        <w:rPr>
          <w:rFonts w:ascii="Times New Roman" w:hAnsi="Times New Roman" w:eastAsia="宋体"/>
          <w:b w:val="0"/>
          <w:i w:val="0"/>
          <w:sz w:val="24"/>
        </w:rPr>
        <w:t>8. Tan H, Guo Z, Shi Z, Xu L, Liu Z, Feng Y, et al. ProxyQA: an alternative framework for evaluating long-form text generation with large language models. In: Proceedings of the 62nd Annual Meeting of the Association for Computational Linguistics (Volume 1: Long Papers); 2024 Aug 11–16; Bangkok, Thailand. Stroudsburg (PA): Association for Computational Linguistics; 2024. p. 6806–27.</w:t>
      </w:r>
    </w:p>
    <w:p>
      <w:pPr>
        <w:spacing w:before="80" w:after="80" w:lineRule="auto" w:line="360"/>
        <w:ind w:firstLine="0"/>
        <w:jc w:val="both"/>
      </w:pPr>
      <w:r>
        <w:rPr>
          <w:rFonts w:ascii="Times New Roman" w:hAnsi="Times New Roman" w:eastAsia="宋体"/>
          <w:b w:val="0"/>
          <w:i w:val="0"/>
          <w:sz w:val="24"/>
        </w:rPr>
        <w:t>9. Chiang WL, Zheng L, Sheng Y, Angelopoulos AN, Li T, Li D, et al. Chatbot Arena: an open platform for evaluating LLMs by human preference. arXiv preprint 2024; arXiv:2403.04132.</w:t>
      </w:r>
    </w:p>
    <w:p>
      <w:pPr>
        <w:spacing w:before="80" w:after="80" w:lineRule="auto" w:line="360"/>
        <w:ind w:firstLine="0"/>
        <w:jc w:val="both"/>
      </w:pPr>
      <w:r>
        <w:rPr>
          <w:rFonts w:ascii="Times New Roman" w:hAnsi="Times New Roman" w:eastAsia="宋体"/>
          <w:b w:val="0"/>
          <w:i w:val="0"/>
          <w:sz w:val="24"/>
        </w:rPr>
        <w:t>10. Panickssery A, Bowman SR, Feng S. LLM evaluators recognize and favor their own generations. arXiv preprint 2024; arXiv:2404.13076.</w:t>
      </w:r>
    </w:p>
    <w:p>
      <w:pPr>
        <w:spacing w:before="80" w:after="80" w:lineRule="auto" w:line="360"/>
        <w:ind w:firstLine="0"/>
        <w:jc w:val="both"/>
      </w:pPr>
      <w:r>
        <w:rPr>
          <w:rFonts w:ascii="Times New Roman" w:hAnsi="Times New Roman" w:eastAsia="宋体"/>
          <w:b w:val="0"/>
          <w:i w:val="0"/>
          <w:sz w:val="24"/>
        </w:rPr>
        <w:t>11. Shrout PE, Fleiss JL. Intraclass correlations: uses in assessing rater reliability. Psychol Bull 1979;86:420–8.</w:t>
      </w:r>
    </w:p>
    <w:p>
      <w:pPr>
        <w:spacing w:before="80" w:after="80" w:lineRule="auto" w:line="360"/>
        <w:ind w:firstLine="0"/>
        <w:jc w:val="both"/>
      </w:pPr>
      <w:r>
        <w:rPr>
          <w:rFonts w:ascii="Times New Roman" w:hAnsi="Times New Roman" w:eastAsia="宋体"/>
          <w:b w:val="0"/>
          <w:i w:val="0"/>
          <w:sz w:val="24"/>
        </w:rPr>
        <w:t>12. Cicchetti DV. Guidelines, criteria, and rules of thumb for evaluating normed and standardized assessment instruments in psychology. Psychol Assess 1994;6:284–90.</w:t>
      </w:r>
    </w:p>
    <w:p>
      <w:pPr>
        <w:spacing w:before="80" w:after="80" w:lineRule="auto" w:line="360"/>
        <w:ind w:firstLine="0"/>
        <w:jc w:val="both"/>
      </w:pPr>
      <w:r>
        <w:rPr>
          <w:rFonts w:ascii="Times New Roman" w:hAnsi="Times New Roman" w:eastAsia="宋体"/>
          <w:b w:val="0"/>
          <w:i w:val="0"/>
          <w:sz w:val="24"/>
        </w:rPr>
        <w:t>13. Liu NF, Lin K, Hewitt J, Paranjape A, Bevilacqua M, Petroni F, et al. Lost in the middle: how language models use long contexts. Trans Assoc Comput Linguist 2024;12:157–73.</w:t>
      </w:r>
    </w:p>
    <w:p>
      <w:pPr>
        <w:spacing w:before="80" w:after="80" w:lineRule="auto" w:line="360"/>
        <w:ind w:firstLine="0"/>
        <w:jc w:val="both"/>
      </w:pPr>
      <w:r>
        <w:rPr>
          <w:rFonts w:ascii="Times New Roman" w:hAnsi="Times New Roman" w:eastAsia="宋体"/>
          <w:b w:val="0"/>
          <w:i w:val="0"/>
          <w:sz w:val="24"/>
        </w:rPr>
        <w:t>14. Knott M, Krebs M, Kerscher A. Large language models in healthcare quality management: a European perspective on process automation and compliance. Front Digit Health 2026;8:1761641.</w:t>
      </w:r>
    </w:p>
    <w:p>
      <w:pPr>
        <w:spacing w:before="80" w:after="80" w:lineRule="auto" w:line="360"/>
        <w:ind w:firstLine="0"/>
        <w:jc w:val="both"/>
      </w:pPr>
      <w:r>
        <w:rPr>
          <w:rFonts w:ascii="Times New Roman" w:hAnsi="Times New Roman" w:eastAsia="宋体"/>
          <w:b/>
          <w:i w:val="0"/>
          <w:sz w:val="24"/>
        </w:rPr>
        <w:t>Word count (正文含参考文献)</w:t>
      </w:r>
      <w:r>
        <w:rPr>
          <w:rFonts w:ascii="Times New Roman" w:hAnsi="Times New Roman" w:eastAsia="宋体"/>
          <w:b w:val="0"/>
          <w:i w:val="0"/>
          <w:sz w:val="24"/>
        </w:rPr>
        <w:t>：约 12100 字</w:t>
      </w:r>
    </w:p>
    <w:p>
      <w:pPr>
        <w:spacing w:before="80" w:after="80" w:lineRule="auto" w:line="360"/>
        <w:ind w:firstLine="0"/>
        <w:jc w:val="both"/>
      </w:pPr>
      <w:r>
        <w:rPr>
          <w:rFonts w:ascii="Times New Roman" w:hAnsi="Times New Roman" w:eastAsia="宋体"/>
          <w:b/>
          <w:i w:val="0"/>
          <w:sz w:val="24"/>
        </w:rPr>
        <w:t>Tables</w:t>
      </w:r>
      <w:r>
        <w:rPr>
          <w:rFonts w:ascii="Times New Roman" w:hAnsi="Times New Roman" w:eastAsia="宋体"/>
          <w:b w:val="0"/>
          <w:i w:val="0"/>
          <w:sz w:val="24"/>
        </w:rPr>
        <w:t>：5</w:t>
      </w:r>
    </w:p>
    <w:p>
      <w:pPr>
        <w:spacing w:before="80" w:after="80" w:lineRule="auto" w:line="360"/>
        <w:ind w:firstLine="0"/>
        <w:jc w:val="both"/>
      </w:pPr>
      <w:r>
        <w:rPr>
          <w:rFonts w:ascii="Times New Roman" w:hAnsi="Times New Roman" w:eastAsia="宋体"/>
          <w:b/>
          <w:i w:val="0"/>
          <w:sz w:val="24"/>
        </w:rPr>
        <w:t>Figures</w:t>
      </w:r>
      <w:r>
        <w:rPr>
          <w:rFonts w:ascii="Times New Roman" w:hAnsi="Times New Roman" w:eastAsia="宋体"/>
          <w:b w:val="0"/>
          <w:i w:val="0"/>
          <w:sz w:val="24"/>
        </w:rPr>
        <w:t>：4</w:t>
      </w:r>
    </w:p>
    <w:p>
      <w:pPr>
        <w:spacing w:before="80" w:after="80" w:lineRule="auto" w:line="360"/>
        <w:ind w:firstLine="0"/>
        <w:jc w:val="both"/>
      </w:pPr>
      <w:r>
        <w:rPr>
          <w:rFonts w:ascii="Times New Roman" w:hAnsi="Times New Roman" w:eastAsia="宋体"/>
          <w:b/>
          <w:i w:val="0"/>
          <w:sz w:val="24"/>
        </w:rPr>
        <w:t>References</w:t>
      </w:r>
      <w:r>
        <w:rPr>
          <w:rFonts w:ascii="Times New Roman" w:hAnsi="Times New Roman" w:eastAsia="宋体"/>
          <w:b w:val="0"/>
          <w:i w:val="0"/>
          <w:sz w:val="24"/>
        </w:rPr>
        <w:t>：14</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