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 what LLM drafting means for accreditation, and how the paper reads — and both have had an important influence on this revision; together they have substantially reshaped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changes of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Throughout the revised text, no configuration is described as producing anything more than a reference draft. What decides whether a document can actually be used for accreditation — the laboratory's own quality-control data, its patient data distributions, its proficiency-testing history — has to be entered and interpreted by competent staff, because the model holds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And the documents the judges overrated most were precisely the ones that look right — correct structure, correct terminology — but carry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the clearest case: 444 words rewritten into about 220, as a single argument running from the finding to its practical consequences to the closing position, with topic sentences carrying the thread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Component presence (included / partial / absent) and total prompt size are now shown as two separate encodings, and the caption says plainly that they are not proportional: the component marks index distilled, structured prompt content, whereas bar length reflects the total volume of loaded text.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 378 document-level ratings, 77.8% —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