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~0.30 points higher than GPT-generated outputs (Panickssery: +0.29 Claude, −0.30 GPT), a pattern incompatible with classical self-preference and concentrated at C_full.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prompt configurations were designed by systematic substitution along four prompt-content dimensions—rules, document skeleton, detailed content, and worked examples—varied across operationally relevant levels: three levels (absent / partial / full) for rules and document skeleton, and binary (absent / present) for detailed content and worked examples (Figure 1). Two minimal configurations served as baselines: A_bare (0 tokens; no system prompt) and B_simple (~300 tokens; a brief task instruction containing six numbered constraints—language, file structure, standard citations, terminology, expression style, and numbering—coded as the partial level of the rules dimension). C_full (~56,000 tokens) represented the full-context input strategy, comprising the laboratory profile and the full set of SOPs concatenated into a single context block; because no standalone enforcement-oriented rule block was supplied, C_full was also coded as the partial level of the rules dimension. E_rules_v2 (~1,200 tokens) contained only the rules component; F_template (~15,000 tokens) contained the complete document template without rules; G_template_rules (~16,000 tokens) combined the rules component with the template; H2_keep_examples (~25,000 tokens) extended G_template_rules with worked examples; H3_skeleton (~5,000 tokens) preserved the module skeleton while removing detailed content; and H4_sop_only (~2,000 tokens) retained only the single SOP skeleton most relevant to the requested task. The letter D is intentionally skipped in the alphabetic sequence: an earlier D_rules variant was deprecated after expert validation identified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derived from a curated rules.md file (~1,200 tokens) and refined through domain-expert review. Three incorrect terminology mappings were removed (instrument → equipment; calibrator product → calibrator; inter-laboratory comparison → proficiency testing) and three target terms were corrected (specimen → sample; test item → measurand; linear range → reportable range); arrows denote the non-preferred → ISO 15189-preferred direction. The final rule set retained 10 verified terminology mappings and seven categories of prohibited vague expressions. The document skeleton was extracted from the institutional template library using a custom *strip_to_skeleton* algorithm, which preserved section headings, each section's introductory paragraph, and form-numbering schemes, while removing verbatim clause excerpts, detailed tabular content, worked examples, step-by-step procedures, and fenced code blocks (markdown ... constructs enclosing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were computed using the cl100k_base tokenizer (OpenAI tiktoken library); for mixed Chinese–English medical text, this tokenizer typically differs from the Anthropic-native tokenizer by ≤10% and was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160" w:after="40" w:lineRule="auto" w:line="300"/>
        <w:jc w:val="left"/>
      </w:pPr>
      <w:r>
        <w:rPr>
          <w:rFonts w:ascii="Arial" w:hAnsi="Arial" w:eastAsia="黑体"/>
          <w:b/>
          <w:sz w:val="22"/>
        </w:rPr>
        <w:t>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 2.65] on the 0–5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160" w:after="40" w:lineRule="auto" w:line="300"/>
        <w:jc w:val="left"/>
      </w:pPr>
      <w:r>
        <w:rPr>
          <w:rFonts w:ascii="Arial" w:hAnsi="Arial" w:eastAsia="黑体"/>
          <w:b/>
          <w:sz w:val="22"/>
        </w:rPr>
        <w:t>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160" w:after="40" w:lineRule="auto" w:line="300"/>
        <w:jc w:val="left"/>
      </w:pPr>
      <w:r>
        <w:rPr>
          <w:rFonts w:ascii="Arial" w:hAnsi="Arial" w:eastAsia="黑体"/>
          <w:b/>
          <w:sz w:val="22"/>
        </w:rPr>
        <w:t>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160" w:after="40" w:lineRule="auto" w:line="300"/>
        <w:jc w:val="left"/>
      </w:pPr>
      <w:r>
        <w:rPr>
          <w:rFonts w:ascii="Arial" w:hAnsi="Arial" w:eastAsia="黑体"/>
          <w:b/>
          <w:sz w:val="22"/>
        </w:rPr>
        <w:t>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160" w:after="40" w:lineRule="auto" w:line="300"/>
        <w:jc w:val="left"/>
      </w:pPr>
      <w:r>
        <w:rPr>
          <w:rFonts w:ascii="Arial" w:hAnsi="Arial" w:eastAsia="黑体"/>
          <w:b/>
          <w:sz w:val="22"/>
        </w:rPr>
        <w:t>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160" w:after="40" w:lineRule="auto" w:line="300"/>
        <w:jc w:val="left"/>
      </w:pPr>
      <w:r>
        <w:rPr>
          <w:rFonts w:ascii="Arial" w:hAnsi="Arial" w:eastAsia="黑体"/>
          <w:b/>
          <w:sz w:val="22"/>
        </w:rPr>
        <w:t>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160" w:after="40" w:lineRule="auto" w:line="300"/>
        <w:jc w:val="left"/>
      </w:pPr>
      <w:r>
        <w:rPr>
          <w:rFonts w:ascii="Arial" w:hAnsi="Arial" w:eastAsia="黑体"/>
          <w:b/>
          <w:sz w:val="22"/>
        </w:rPr>
        <w:t>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However, as detailed in §3.4, this population-level average was strongly leveraged by the C_full configuration; when C_full is excluded, the Claude-judge mean bias attenuates to −0.064 and the GPT-judge mean bias to −0.167, indicating that the cross-judge directional pattern is concentrated at the long-context configuration rather than constituting a uniform property of the LLM-as-judge framework.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2).</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2.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Furthermore, the cross-judge bias estimates reported in §3.4 are strongly leveraged by the C_full configuration, which contributes the largest single-configuration value (+3.156) to the Claude-judge mean and −1.378 to the GPT-judge mean; future replication should therefore report per-configuration bias profiles separately to disentangle long-context-specific effects from configuration-independent judge preferences.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2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