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Claude Opus 4.6 与 GPT-5.4 生成医学实验室质量管理文件的 ISO 15189 合规性：跨 prompt 策略的比较评估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：比较跨 prompt 策略下 LLM 生成的医学实验室质量管理体系（QMS）文件的 ISO 15189:2022 合规性，识别最优配置，并通过多层次框架刻画现有评估方法中的系统性偏差。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：采用双模型设计共生成 486 份 QMS 文件（Claude Opus 4.6：9 配置 × 15 任务 × 3 重复 = 405；GPT-5.4：9 × 3 × 3 = 81，用于跨模型验证）。9 组配置跨 4 个 prompt 内容维度（规则、文档骨架、详细内容、示例；前两者三水平，后两者二水平；0–56,000 tokens）。合规性按 0–5 Likert 量纲在三层框架下评分：Python 规则式评分器；双 LLM-as-judge 评审（864 条评分）；以及 3 位 ISO 15189 资格内审员对 10 份分层抽样文件的盲法评审。效应检验采用 FDR 校正消融与 bootstrap 95% CI；评审员一致性采用 ICC(2,1)、ICC(3,1)、ICC(2,k) 与 ICC(3,k)。</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p&lt;0.001）；骨架、详细内容与示例均未产生（所有 p≥0.11）。C_full（~56,000 tokens）在 Claude 下评分 3.22–4.56，在 GPT-5.4 下仅 1.40–1.84，提示长上下文利用具有模型特异性。两位 LLM 评审均将 Claude 生成输出评得比 GPT 生成高约 0.30 分（Panickssery：Claude +0.29，GPT −0.30），此模式与经典自偏好不兼容，且集中表现于 C_full。评审员一致性：专家间极佳 [ICC(2,k)=0.982]，Claude 评审中等 [ICC(3,1)=0.548]，GPT 评审较差 [ICC(3,1)=0.217]；两位 LLM 评审均把专家评分高估 0.52–0.90 分。LLM 偏好的 H4_sop_only（~2,000 tokens）在专家评估下跌至 7 配置中的第 5 名（3.20；仅高于空 prompt 基线 0.16 分），而模板锚定的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 配置（H4_sop_only、E_rules_v2；~1,000–2,000 tokens）适合需经专家审阅的探索性草稿；模板锚定配置（G_template_rules、F_template；~15,000–16,000 tokens）对 ISO 15189 认可送审则属必需；C_full（~56,000 tokens）应避免与 GPT-5.4 搭配使用。LLM-as-judge 方法可支持首道筛选（Claude 作为审慎代理；GPT-5.4 不适用），但专家终审仍属必需。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15189:2022《医学实验室——质量和能力的要求》[7] 是医学实验室认可的国际标准，且其在中国医学实验室的采用在中国合格评定国家认可委员会（CNAS）框架下持续扩大 [14]。对应的国内实施文本 CNAS-CL02:2023 同期发布。该类标准规定实验室必须达到何种要求，而不规定如何达到，因此每家实验室须自主构建一套独立的质量管理体系（quality management system, QMS）文件集，包含质量手册、程序文件与作业指导书。根据通讯作者作为 ISO 15189 内审员的经验，此类体系在典型三级甲等医院检验科中通常包含 100–300 份受控文件，涉及结构组织、条款–文件映射、表单编号与职责分配；由内部质量小组手工编写通常需时数月，再经多轮内部审核方可定型。寻求 CNAS 认可的实验室通常会聘请外部技术专家或培训师协助完成此过程。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大语言模型（LLM）的发展为这一工作量的实质性自动化带来了可能。Claude Opus 4.6 与 GPT-5.4 等前沿模型在长文档生成、结构化输出与领域专业术语使用方面已显示出相应能力 [1, 2]，且 LLM 已被应用于科学研究 [8] 与医学问答 [9]。然而，何种 system prompt 设计能够生成合规且具备可操作性的 QMS 文件，尚未得到系统性研究。实践中已出现两种对立的做法：其一为全量上下文做法，将所有可能相关的材料——ISO 标准原文、CNAS 准则、既有文件库与 worked examples——一并载入 system prompt，常超过 50,000–100,000 tokens；其二为极简 prompt 做法，仅提供规则约束与章节骨架，依赖模型内化知识完成内容生成，prompt 长度被限制在数千 token 以内。支持任一做法的实证证据均有限，因为现有 LLM 行为与 prompting 综述 [4, 12] 多关注通用任务，并未系统比较 QMS 撰写这类专业监管文档场景。</w:t>
      </w:r>
    </w:p>
    <w:p>
      <w:pPr>
        <w:spacing w:before="80" w:after="80" w:lineRule="auto" w:line="360"/>
        <w:ind w:firstLine="0"/>
        <w:jc w:val="both"/>
      </w:pPr>
      <w:r>
        <w:rPr>
          <w:rFonts w:ascii="Times New Roman" w:hAnsi="Times New Roman" w:eastAsia="宋体"/>
          <w:b w:val="0"/>
          <w:sz w:val="22"/>
        </w:rPr>
        <w:t>第二个、更根本的问题涉及评估方法学本身。LLM 生成的输出当前最常见的评估方式是 LLM-as-judge 范式，即由另一个 LLM 担任评分者 [5]。长文本生成评估 [10] 与大规模人类偏好基准 [11] 已成为该文献中两种主要的评估范式。已有工作记录到 LLM 评审倾向于呈现 self-preference bias，偏好同家族模型生成的输出 [6]。然而，该偏差是否以及如何在医学实验室 QMS 等专业监管领域中表现、以及它如何传播到配置比较结论中，尚未得到实证刻画。</w:t>
      </w:r>
    </w:p>
    <w:p>
      <w:pPr>
        <w:spacing w:before="80" w:after="80" w:lineRule="auto" w:line="360"/>
        <w:ind w:firstLine="0"/>
        <w:jc w:val="both"/>
      </w:pPr>
      <w:r>
        <w:rPr>
          <w:rFonts w:ascii="Times New Roman" w:hAnsi="Times New Roman" w:eastAsia="宋体"/>
          <w:b w:val="0"/>
          <w:sz w:val="22"/>
        </w:rPr>
        <w:t>为弥补上述空白，本研究生成了 486 份 QMS 文件、收集了 864 条 LLM 评审评分、并获得了 30 条盲法专家评分，以探究以下研究问题：(i) system prompt 配置中的哪些成分——规则、文档骨架、详细内容、worked examples——对 LLM 生成 QMS 文件的合规性贡献最大？(ii) 最精简的有效 token 预算是多少？(iii) 最优配置是否在生成模型之间（Claude Opus 4.6 与 GPT-5.4）一致？(iv) 在本研究领域 LLM 评审 self-preference bias 的量级如何？(v) 在结合自动评分、LLM 评审与专家评分的多层次评估框架下，哪种配置最稳健？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基于规则、文档骨架、详细内容、worked examples 四个 prompt 内容维度的系统替换，按各维度操作定义的水平变化（规则与文档骨架为三水平：缺失 / 部分 / 完整；详细内容与 worked examples 为二水平：缺失 / 存在），设计 9 组 prompt 配置（Figure 1）。两组极简配置作为基线：A_bare（0 tokens；无 system prompt）与 B_simple（~300 tokens；含语言、文件结构、标准引用、术语、表达风格与编号 6 条编号约束的简短任务指令——编码为规则维度的 partial 水平）。C_full（~56,000 tokens）代表全量上下文输入策略，由实验室简介与全部 SOP 串接组成单一上下文块；由于未单独提供独立的强制性规则块，C_full 同样编码为规则维度的 partial 水平。E_rules_v2（~1,200 tokens）仅含规则成分；F_template（~15,000 tokens）为无规则的完整文档模板；G_template_rules（~16,000 tokens）为规则与模板的组合；H2_keep_examples（~25,000 tokens）在 G_template_rules 基础上扩展 worked examples；H3_skeleton（~5,000 tokens）保留模块骨架但删除详细内容；H4_sop_only（~2,000 tokens）仅保留与请求任务最相关的单个 SOP 骨架。字母 D 在编号序列中被有意跳过：早期 D_rules 变体经专家验证发现术语错误后被弃用，由 E_rules_v2 替代；保留字母跳号以保持配置标识符的时间一致性。</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val="0"/>
          <w:sz w:val="22"/>
        </w:rPr>
        <w:t>规则成分基于经过整理的 rules.md 文件（~1,200 tokens），并经领域专家校验精修。删除 3 条错误术语映射（仪器 → 设备；校准品 → 校准物；室间质评 → 能力验证），修正 3 条目标术语（标本 → 样品；检验项目 → 检测项目；线性范围 → 可报告范围）；箭头表示「非首选 → ISO 15189 首选」方向。最终规则集保留 10 条经验证的术语映射与 7 类被禁的模糊表述。文档骨架由自定义 *strip_to_skeleton* 算法从机构模板库中提取，保留章节标题、各章节首段说明与表单编号方案，删除条款原文摘录、详细表格内容、worked examples、step-by-step 程序与 fenced code blocks（markdown ... 构造，含流程图、JSON 片段或伪代码）。</w:t>
      </w:r>
    </w:p>
    <w:p>
      <w:pPr>
        <w:spacing w:before="80" w:after="80" w:lineRule="auto" w:line="360"/>
        <w:ind w:firstLine="0"/>
        <w:jc w:val="both"/>
      </w:pPr>
      <w:r>
        <w:rPr>
          <w:rFonts w:ascii="Times New Roman" w:hAnsi="Times New Roman" w:eastAsia="宋体"/>
          <w:b w:val="0"/>
          <w:sz w:val="22"/>
        </w:rPr>
        <w:t>本研究所有报告的 token 数均使用 cl100k_base tokenizer（OpenAI tiktoken 库）计算；在中英混合医学文本上，该 tokenizer 与 Anthropic 原生 tokenizer 通常相差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1 定义的描述性五维度量规。</w:t>
      </w:r>
    </w:p>
    <w:p>
      <w:pPr>
        <w:spacing w:before="160" w:after="40" w:lineRule="auto" w:line="300"/>
        <w:jc w:val="left"/>
      </w:pPr>
      <w:r>
        <w:rPr>
          <w:rFonts w:ascii="Arial" w:hAnsi="Arial" w:eastAsia="黑体"/>
          <w:b/>
          <w:sz w:val="22"/>
        </w:rPr>
        <w:t>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字典定义的权重合成为加权综合分（auto_weighted）：格式 = 0.18、条款覆盖 = 0.22、术语 = 0.13——这是该字典所列七个权重项中已实现的三项。字典中其余四项（逻辑一致性 = 0.18、可操作性 = 0.10、安全合规性 = 0.09、人工修改量 = 0.10；合计 0.47）为早期 7 维评分方案的残留条目，已被 §2.3 所述三级评估框架取代；这四项</w:t>
      </w:r>
      <w:r>
        <w:rPr>
          <w:rFonts w:ascii="Times New Roman" w:hAnsi="Times New Roman" w:eastAsia="宋体"/>
          <w:b/>
          <w:sz w:val="22"/>
        </w:rPr>
        <w:t>未纳入 auto_weighted 计算</w:t>
      </w:r>
      <w:r>
        <w:rPr>
          <w:rFonts w:ascii="Times New Roman" w:hAnsi="Times New Roman" w:eastAsia="宋体"/>
          <w:b w:val="0"/>
          <w:sz w:val="22"/>
        </w:rPr>
        <w:t>，因此不参与 Tier 1 排序。三个已实现权重合计为 0.53，故 auto_weighted 在 0–5 评分尺度下的理论范围为 [0, 2.65]。此非单位权重总和仅为评分尺度的表面特征：将每个权重乘以 1/0.53 以归一化至单位和（格式、条款覆盖、术语分别约为 0.34、0.42、0.25），仅是 auto_weighted 的正线性变换，因此既保留各配置组的均值排序，亦保留 §3.1 用于构建综合排序的 min-max 归一化结果（Spearman ρ = 1.00，由变换形式必然成立）。§3 报告的所有 Tier 1 排序对采用原始权重抑或归一化后的单位和权重均完全一致。</w:t>
      </w:r>
    </w:p>
    <w:p>
      <w:pPr>
        <w:spacing w:before="160" w:after="40" w:lineRule="auto" w:line="300"/>
        <w:jc w:val="left"/>
      </w:pPr>
      <w:r>
        <w:rPr>
          <w:rFonts w:ascii="Arial" w:hAnsi="Arial" w:eastAsia="黑体"/>
          <w:b/>
          <w:sz w:val="22"/>
        </w:rPr>
        <w:t>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1）以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1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160" w:after="40" w:lineRule="auto" w:line="300"/>
        <w:jc w:val="left"/>
      </w:pPr>
      <w:r>
        <w:rPr>
          <w:rFonts w:ascii="Arial" w:hAnsi="Arial" w:eastAsia="黑体"/>
          <w:b/>
          <w:sz w:val="22"/>
        </w:rPr>
        <w:t>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1）。Rater 1 为第一作者，本身为合格 ISO 15189 内审员；Rater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1）与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160" w:after="40" w:lineRule="auto" w:line="300"/>
        <w:jc w:val="left"/>
      </w:pPr>
      <w:r>
        <w:rPr>
          <w:rFonts w:ascii="Arial" w:hAnsi="Arial" w:eastAsia="黑体"/>
          <w:b/>
          <w:sz w:val="22"/>
        </w:rPr>
        <w:t>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160" w:after="40" w:lineRule="auto" w:line="300"/>
        <w:jc w:val="left"/>
      </w:pPr>
      <w:r>
        <w:rPr>
          <w:rFonts w:ascii="Arial" w:hAnsi="Arial" w:eastAsia="黑体"/>
          <w:b/>
          <w:sz w:val="22"/>
        </w:rPr>
        <w:t>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160" w:after="40" w:lineRule="auto" w:line="300"/>
        <w:jc w:val="left"/>
      </w:pPr>
      <w:r>
        <w:rPr>
          <w:rFonts w:ascii="Arial" w:hAnsi="Arial" w:eastAsia="黑体"/>
          <w:b/>
          <w:sz w:val="22"/>
        </w:rPr>
        <w:t>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160" w:after="40" w:lineRule="auto" w:line="300"/>
        <w:jc w:val="left"/>
      </w:pPr>
      <w:r>
        <w:rPr>
          <w:rFonts w:ascii="Arial" w:hAnsi="Arial" w:eastAsia="黑体"/>
          <w:b/>
          <w:sz w:val="22"/>
        </w:rPr>
        <w:t>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160" w:after="40" w:lineRule="auto" w:line="300"/>
        <w:jc w:val="left"/>
      </w:pPr>
      <w:r>
        <w:rPr>
          <w:rFonts w:ascii="Arial" w:hAnsi="Arial" w:eastAsia="黑体"/>
          <w:b/>
          <w:sz w:val="22"/>
        </w:rPr>
        <w:t>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tokens；0.000）。H4_sop_only 仅以 ~2,000 tokens 获得最高综合分——远低于模板锚定配置（G_template_rules ~16,000；H2_keep_examples ~25,000）与全量 C_full（~56,000）；但如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对称设计——Claude 生成 × Claude 评审、Claude 生成 × GPT 评审、GPT 生成 × Claude 评审、GPT 生成 × GPT 评审——评估于 9 组配置 × 3 个代表任务（A1、B1、C1）× 每单元 3 次重复。全量上下文配置 C_full（~56,000 tokens）在 GPT-5.4 生成条件下合规分出现显著下降：GPT-gen × Claude-judge 均值为 1.40，GPT-gen × GPT-judge 均值为 1.84（0–5 Likert 量纲），而同一 C_full 配置在 Claude Opus 4.6 生成条件下两位判官的跨评估均值落在 3.22–4.56 区间。该模式表明 ~56,000-token 全量上下文配置的表观可用性局限于 Claude Opus 4.6，在本研究测试的参数下无法推广至 GPT-5.4。作者对 GPT 生成的 C_full 输出进行了定性检视，识别出三类反复出现的失败模式：（i）指令遵循衰退，即 system prompt 早期声明的约束在输出后段不再得到体现；（ii）结构错乱，表现为章节顺序不一致、必需标题缺失或编号错误；以及（iii）条款引用混淆，包括使用错误、不匹配或捏造的 ISO 15189:2022 条款编号。在相应的 Claude Opus 4.6 输出中未观察到这些失败模式。</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分，尽管自评偏差指标的符号在表面上相反。将 C_full 作为主要离群点排除后，Claude 评审均值偏差衰减至 −0.064（9 配置中位数：+0.200），GPT 评审均值偏差衰减至 −0.167（中位数：−0.311），表明上述 Panickssery 指数主要由 C_full 拖动，其长上下文失败模式（§3.3）在该处放大了跨判官分歧。</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1）在评分员间高度可重复；然而由于三位评分员均来自同一单位，所观察到的可靠性可能高估跨单位一致性（见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~15,000–25,000-token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−0.30；§3.4）。然而如 §3.4 所述，该总体均值受 C_full 配置强力杠杆影响：排除 C_full 后，Claude 评审均值偏差衰减至 −0.064，GPT 评审均值偏差衰减至 −0.167，表明跨判官方向性模式集中于长上下文配置，而非 LLM-as-judge 框架的均匀属性。该符号相反的模式与"同家族经典自偏好"不兼容——后者应表现为两位判官均为同号正值——故可由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2）。</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2。这些推荐反映了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之间的歧义，无法在本研究样本内判别。此外，§3.4 报告的跨判官偏差估计受 C_full 配置强力杠杆影响（C_full 贡献了 Claude 评审均值的最大单组值 +3.156 与 GPT 评审均值的最大负值 −1.378）；后续重复研究应分别报告各配置的偏差分布，以区分长上下文特异性效应与配置无关的判官偏好。跨单位 3 至 5 位评分员 × 30 至 50 份文件 / 单位（且包含匹配的 GPT 生成样本）的多中心验证，是关键的未来工作。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归档（DOI：[接收后分配]）。</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2）</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