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binary dimensions—rules, skeleton, detailed content, and examples—with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substitution-contrast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(56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binary dimensions: rules, skeleton, detailed content, and examples (Figure 1). Among them, A_bare (0 K) and B_simple (0.3 K) served as baselines; C_full (56 K) represented the full-context input strategy; E_rules (1.2 K) contained only the rules layer;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layer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 v1.0)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The dictionary contains entries for an originally planned 7-dimension scheme (format, clause coverage, terminology, logical consistency, operability, safety compliance, and manual-revision burden); the four entries beyond the three measured dimensions were not implemented in the current scorer and default to a neutral 3.0, which therefore introduces a constant offset across all 9 configurations and does not affect the relative ranking between them.</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core configurations × Class A procedure-document tasks (A1, A2, A3) — yielding a 21-stratum frame.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 The 9 configurations are not a Taguchi L9 orthogonal array; they form a structured subset of the 4-dimensional configuration space (rules / skeleton / detailed content / examples, each at three levels: absent / partial / full), selected to isolate each dimension through the targeted pairwise contrasts above rather than to satisfy the balanced-orthogonality requirement of an L9 design.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(2 K) first (0.994), H3_skeleton (5 K) second, G_template_rules (16 K) third, H2_keep_examples (25 K) fourth, E_rules (1.2 K) fifth, C_full (56 K) sixth, F_template (15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(2 K) and the full module skeleton (5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