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共用一套五维度评分量规（Supplementary Table S2）——条款满足度、可操作性、内部一致性、PDCA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补上——量规中的“条款满足度”维度把“大量条款仅引用未落实”直接判为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主任评审员”，按共用量规的五个维度给每份覆盖到的文件打一次分，经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的四个象限都有数据，因此仍能做自我偏好分解。Supplementary Table S2 给出了 5 分、3 分、1 分的明确标准（分别对应完全符合、部分符合、严重不符）；中间的 4、2 分由评分者在相邻两档之间判断；0 分表示该维度无法评估。这些标准对所有评判者与专家完全一致。</w:t>
      </w:r>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2）显示规则效应在三类任务中方向一致，不支持该效应由个别任务驱动。四个成分对比之间存在配置重叠、并不独立，因此多重比较用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2）。我们特意用这种最直接的对比而非更复杂的统计模型，因为它最直观、最好解读。需说明的是，9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1）。综合分由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1.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2。</w:t>
      </w:r>
    </w:p>
    <w:p>
      <w:pPr>
        <w:spacing w:before="120" w:after="40" w:lineRule="auto" w:line="360"/>
        <w:ind w:firstLine="0"/>
        <w:jc w:val="center"/>
      </w:pPr>
      <w:r>
        <w:rPr>
          <w:rFonts w:ascii="Times New Roman" w:hAnsi="Times New Roman" w:eastAsia="宋体"/>
          <w:b/>
          <w:i w:val="0"/>
          <w:sz w:val="24"/>
        </w:rPr>
        <w:t>Table 2.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2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Supplementary Table S2）。真正按文件类型分层——把通用管理文件与检验技术文件分开比较——本研究做不到，因为任务集里根本没有技术类文件（第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3，结果与 LLM 评判者层几乎相反（Figure 4b）。</w:t>
      </w:r>
    </w:p>
    <w:p>
      <w:pPr>
        <w:spacing w:before="120" w:after="40" w:lineRule="auto" w:line="360"/>
        <w:ind w:firstLine="0"/>
        <w:jc w:val="center"/>
      </w:pPr>
      <w:r>
        <w:rPr>
          <w:rFonts w:ascii="Times New Roman" w:hAnsi="Times New Roman" w:eastAsia="宋体"/>
          <w:b/>
          <w:i w:val="0"/>
          <w:sz w:val="24"/>
        </w:rPr>
        <w:t>Table 3.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4）。</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4。关键的取舍（第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4.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4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3）。但无论哪类配置，生成的都只是供参考的初稿，不能直接提交认可。极简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1）与专家小组（Table 3）的配置排名对比：LLM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