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质量管理体系文件的评估：prompt 配置、LLM-as-judge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：Prompt configuration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：评估大语言模型（LLM）辅助起草的 ISO 15189:2022 质量管理体系（QMS）文件的合规性。</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评判者层，只有“规则”成分显著提高合规分［Δ=0.511，bootstrap 95% CI（0.28, 0.75）；BH-adjusted p&lt;0.001］。全量上下文配置 C_full（~56,000 tokens）在 Claude 下评分 3.22–4.56，在 GPT-5.4 下仅 1.40–1.84。两位评判者都把 Claude 生成的输出评得高约 0.3 分（Panickssery 自我偏好指数：Claude +0.29、GPT −0.30），该效应集中于 C_full，与经典自我偏好不符。同单位专家间一致性极佳［ICC(2,k)=0.982］；评判者与专家一致性至多中等［ICC(3,1)=0.548 vs 0.217］，置信区间宽且跨过 0，两位评判者把专家评分高估 0.52–0.90 分。LLM 偏好的 H4_sop_only 在专家评估下跌至 7 配置中的第 5 名，带完整文档模板的配置排名最高（4.06–4.24）。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：最优配置因评估层级而异：极简 prompt（~1,000–2,000 tokens）较适合需后续人工把关的探索性草稿；对于拟提交认可的文件，带完整文档模板的 prompt（~15,000–16,000 tokens）往往表现更好；C_full 在 GPT-5.4 下表现明显下降、宜谨慎使用——此项基于 3 个任务、未经专家层验证，属初步观察。LLM-as-judge 可用于初筛，但专家终审仍不可或缺。</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：accreditation; artificial intelligence; inter-rater reliability; large language models; medical laboratory</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最少需要多少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Supplementary Table S1，原始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共用一套五维度评分量规（Supplementary Table S2）——条款满足度、可操作性、内部一致性、PDCA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补上——量规中的“条款满足度”维度把“大量条款仅引用未落实”直接判为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主任评审员”，按共用量规的五个维度给每份覆盖到的文件打一次分，经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的四个象限都有数据，因此仍能做自我偏好分解。Supplementary Table S2 给出了 5 分、3 分、1 分的明确标准（分别对应完全符合、部分符合、严重不符）；中间的 4、2 分由评分者在相邻两档之间判断；0 分表示该维度无法评估。这些标准对所有评判者与专家完全一致。</w:t>
      </w:r>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2）显示规则效应在三类任务中方向一致，不支持该效应由个别任务驱动。四个成分对比之间存在配置重叠、并不独立，因此多重比较用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2）。我们特意用这种最直接的对比而非更复杂的统计模型，因为它最直观、最好解读。需说明的是，9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1）。综合分由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1.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2。</w:t>
      </w:r>
    </w:p>
    <w:p>
      <w:pPr>
        <w:spacing w:before="120" w:after="40" w:lineRule="auto" w:line="360"/>
        <w:ind w:firstLine="0"/>
        <w:jc w:val="center"/>
      </w:pPr>
      <w:r>
        <w:rPr>
          <w:rFonts w:ascii="Times New Roman" w:hAnsi="Times New Roman" w:eastAsia="宋体"/>
          <w:b/>
          <w:i w:val="0"/>
          <w:sz w:val="24"/>
        </w:rPr>
        <w:t>Table 2.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2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Supplementary Table S2）。真正按文件类型分层——把通用管理文件与检验技术文件分开比较——本研究做不到，因为任务集里根本没有技术类文件（第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3，结果与 LLM 评判者层几乎相反（Figure 4b）。</w:t>
      </w:r>
    </w:p>
    <w:p>
      <w:pPr>
        <w:spacing w:before="120" w:after="40" w:lineRule="auto" w:line="360"/>
        <w:ind w:firstLine="0"/>
        <w:jc w:val="center"/>
      </w:pPr>
      <w:r>
        <w:rPr>
          <w:rFonts w:ascii="Times New Roman" w:hAnsi="Times New Roman" w:eastAsia="宋体"/>
          <w:b/>
          <w:i w:val="0"/>
          <w:sz w:val="24"/>
        </w:rPr>
        <w:t>Table 3.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1）与专家小组（Table 3）的配置排名对比：LLM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分（每个配置样本极小，仅为探索性观察）。一个可能的解释是：模型自身的知识并不能可靠覆盖 ISO 15189:2022 与 CNAS-CL02:2023 所要求的临床操作细节——在本研究的任务中，包括急诊样本处理、患者自采样本的接收、样本运送人员的资格要求，以及详细的样本拒收标准。当这些内容未在 system prompt 中明确给出时，模型往往回退至通用的程序化表述：这类表述虽能满足结构与术语层面的合规（自动评分与 LLM 评判者最易识别的两个维度，第 3.6 节），却缺乏拟提交认可的文件所要求的实际可操作性。因此，prompt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4）。</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4。关键的取舍（第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4.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4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配置随评估层级而异：LLM 评判者偏好的 H4_sop_only 在专家评估下跌至第 5，带完整文档模板的 F_template、H2_keep_examples 与 G_template_rules 排名最高（Table 3）。但无论哪类配置，生成的都只是供参考的初稿，不能直接提交认可。极简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归档（DOI：10.5281/zenodo.20091463；https://doi.org/10.5281/zenodo.20091463）。</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(正文含参考文献)</w:t>
      </w:r>
      <w:r>
        <w:rPr>
          <w:rFonts w:ascii="Times New Roman" w:hAnsi="Times New Roman" w:eastAsia="宋体"/>
          <w:b w:val="0"/>
          <w:i w:val="0"/>
          <w:sz w:val="24"/>
        </w:rPr>
        <w:t>：约 12100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