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ISO 15189 Compliance of Medical Laboratory Quality Management Documents Generated by Claude Opus 4.6 and GPT-5.4: A Comparative Evaluation Across Prompting Strategies</w:t>
      </w:r>
    </w:p>
    <w:p>
      <w:pPr>
        <w:spacing w:before="80" w:after="80" w:lineRule="auto" w:line="360"/>
        <w:ind w:firstLine="0"/>
        <w:jc w:val="both"/>
      </w:pPr>
      <w:r>
        <w:rPr>
          <w:rFonts w:ascii="Times New Roman" w:hAnsi="Times New Roman" w:eastAsia="宋体"/>
          <w:b/>
          <w:sz w:val="22"/>
        </w:rPr>
        <w:t>Author</w:t>
      </w:r>
      <w:r>
        <w:rPr>
          <w:rFonts w:ascii="Times New Roman" w:hAnsi="Times New Roman" w:eastAsia="宋体"/>
          <w:b w:val="0"/>
          <w:sz w:val="22"/>
        </w:rPr>
        <w:t>: Sidi Liu¹</w:t>
      </w:r>
    </w:p>
    <w:p>
      <w:pPr>
        <w:spacing w:before="80" w:after="80" w:lineRule="auto" w:line="360"/>
        <w:ind w:firstLine="0"/>
        <w:jc w:val="both"/>
      </w:pPr>
      <w:r>
        <w:rPr>
          <w:rFonts w:ascii="Times New Roman" w:hAnsi="Times New Roman" w:eastAsia="宋体"/>
          <w:b/>
          <w:sz w:val="22"/>
        </w:rPr>
        <w:t>Affiliation</w:t>
      </w:r>
      <w:r>
        <w:rPr>
          <w:rFonts w:ascii="Times New Roman" w:hAnsi="Times New Roman" w:eastAsia="宋体"/>
          <w:b w:val="0"/>
          <w:sz w:val="22"/>
        </w:rPr>
        <w:t>: ¹ Department of Laboratory Medicine, West China Hospital Xiamen, Sichuan University, Xiamen, Fujian 361024, China</w:t>
      </w:r>
    </w:p>
    <w:p>
      <w:pPr>
        <w:spacing w:before="80" w:after="80" w:lineRule="auto" w:line="360"/>
        <w:ind w:firstLine="0"/>
        <w:jc w:val="both"/>
      </w:pPr>
      <w:r>
        <w:rPr>
          <w:rFonts w:ascii="Times New Roman" w:hAnsi="Times New Roman" w:eastAsia="宋体"/>
          <w:b/>
          <w:sz w:val="22"/>
        </w:rPr>
        <w:t>Corresponding author</w:t>
      </w:r>
      <w:r>
        <w:rPr>
          <w:rFonts w:ascii="Times New Roman" w:hAnsi="Times New Roman" w:eastAsia="宋体"/>
          <w:b w:val="0"/>
          <w:sz w:val="22"/>
        </w:rPr>
        <w:t>: Sidi Liu, lllsssddd@icloud.com, 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 Prompting strategies for ISO 15189 document compliance</w:t>
      </w:r>
    </w:p>
    <w:p>
      <w:pPr>
        <w:spacing w:before="80" w:after="80" w:lineRule="auto" w:line="360"/>
        <w:ind w:firstLine="0"/>
        <w:jc w:val="both"/>
      </w:pPr>
      <w:r>
        <w:rPr>
          <w:rFonts w:ascii="Times New Roman" w:hAnsi="Times New Roman" w:eastAsia="宋体"/>
          <w:b/>
          <w:sz w:val="22"/>
        </w:rPr>
        <w:t>Keywords</w:t>
      </w:r>
      <w:r>
        <w:rPr>
          <w:rFonts w:ascii="Times New Roman" w:hAnsi="Times New Roman" w:eastAsia="宋体"/>
          <w:b w:val="0"/>
          <w:sz w:val="22"/>
        </w:rPr>
        <w:t>: ISO 15189; medical laboratory; quality management system; large language model; prompt engineering; LLM-as-judge; expert validation</w:t>
      </w:r>
    </w:p>
    <w:p>
      <w:pPr>
        <w:spacing w:before="280" w:after="120" w:lineRule="auto" w:line="300"/>
        <w:jc w:val="left"/>
      </w:pPr>
      <w:r>
        <w:rPr>
          <w:rFonts w:ascii="Arial" w:hAnsi="Arial" w:eastAsia="黑体"/>
          <w:b/>
          <w:sz w:val="28"/>
        </w:rPr>
        <w:t>Abstract</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 To compare the ISO 15189:2022 compliance of LLM-generated medical laboratory quality management system (QMS) documents across prompting strategies, identify the optimal configuration, and characterise systematic biases in current evaluation approaches through a multi-tier framework.</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 A two-model design produced 486 QMS documents (Claude Opus 4.6: 9 configurations × 15 tasks × 3 replicates = 405; GPT-5.4: 9 × 3 × 3 = 81 for cross-model validation). Configurations spanned four prompt-content dimensions (rules, document skeleton, detailed content, worked examples; first two at three levels, latter two binary; 0–56,000 tokens). Compliance was rated on a 0–5 Likert scale across three tiers: a Python rule-based scorer; dual LLM-as-judge review (864 ratings); and blinded review of 10 stratified-sampled documents by three qualified ISO 15189 internal auditors. Effects were tested by FDR-corrected ablation with bootstrap 95% CIs; inter-rater reliability used ICC(2,1), ICC(3,1), ICC(2,k), and ICC(3,k).</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 At the LLM-judge tier, only the rules component produced a significant compliance gain (Δ = +0.511; BH-adjusted p &lt; 0.001); the skeleton, detailed content, and worked examples did not (all p ≥ 0.11). C_full (~56,000 tokens) scored 3.22–4.56 with Claude versus 1.40–1.84 with GPT-5.4, indicating model-specific long-context utilisation. Both LLM judges rated Claude-generated outputs ~0.30 points higher than GPT-generated outputs (Panickssery: +0.29 Claude, −0.30 GPT), a pattern incompatible with classical self-preference and concentrated at C_full. Inter-rater agreement was excellent among experts [ICC(2,k) = 0.982], moderate for the Claude judge [ICC(3,1) = 0.548], and poor for the GPT judge [ICC(3,1) = 0.217]; both LLM judges overestimated experts by 0.52–0.90 points. The LLM-favoured H4_sop_only (~2,000 tokens) fell to fifth of seven configurations under expert evaluation (3.20; only 0.16 points above the no-prompt baseline), whereas template-anchored F_template, H2_keep_examples, and G_template_rules ranked highest (4.06–4.24).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 The optimal configuration depends on the evaluation tier. Minimal-prompt configurations (H4_sop_only, E_rules_v2; ~1,000–2,000 tokens) suit exploratory drafts subject to expert review; template-anchored configurations (G_template_rules, F_template; ~15,000–16,000 tokens) are required for ISO 15189 accreditation submission; C_full (~56,000 tokens) should be avoided with GPT-5.4. LLM-as-judge methods may support first-pass screening (Claude as cautious proxy; GPT-5.4 unsuitable), but expert final review remains indispensable.</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ISO 15189:2022 *Medical laboratories — Requirements for quality and competence* [7] is the international standard for medical laboratory accreditation, and its adoption by Chinese medical laboratories has continued to expand under the China National Accreditation Service for Conformity Assessment (CNAS) framework [14]. The corresponding national implementation document, CNAS-CL02:2023, was issued in parallel. Such standards prescribe what laboratories must achieve, not how to achieve it, requiring each laboratory to construct an independent quality management system (QMS) documentation set comprising a quality manual, procedure documents, and standard operating instructions. Based on the corresponding author's experience as an ISO 15189 internal auditor, such a system in a typical tertiary-level hospital clinical laboratory contains on the order of 100–300 controlled documents and spans structural organisation, clause-to-document mapping, form numbering, and responsibility assignment; manual drafting by an in-house quality team typically takes several months, followed by multiple rounds of internal audit before finalisation. Laboratories pursuing CNAS accreditation typically engage external technical experts or trainers to guide this process.</w:t>
      </w:r>
    </w:p>
    <w:p>
      <w:pPr>
        <w:spacing w:before="80" w:after="80" w:lineRule="auto" w:line="360"/>
        <w:ind w:firstLine="0"/>
        <w:jc w:val="both"/>
      </w:pPr>
      <w:r>
        <w:rPr>
          <w:rFonts w:ascii="Times New Roman" w:hAnsi="Times New Roman" w:eastAsia="宋体"/>
          <w:b w:val="0"/>
          <w:sz w:val="22"/>
        </w:rPr>
        <w:t>The advancement of large language models (LLMs) has raised the possibility of automating substantial portions of this workload. State-of-the-art models such as Claude Opus 4.6 and GPT-5.4 have demonstrated competence in long-document generation, structured output, and the use of domain-specific terminology [1, 2], and LLMs have been applied to scientific research [8] and medical question answering [9]. However, the optimal system-prompt design for producing compliant and operationally usable QMS documents has not been systematically investigated. Two contrasting approaches have emerged in practice: a full-context approach that loads all potentially relevant material—the ISO standard text, CNAS criteria, an existing document library, and worked examples—into the system prompt, often exceeding 50,000–100,000 tokens; and a minimal-prompt approach that supplies only rule constraints and section skeletons, relying on the model's internalised knowledge for content generation, with prompts limited to a few thousand tokens. Empirical evidence supporting either approach remains limited, as existing surveys of LLM behaviour and prompting [4, 12] have focused on general-purpose tasks and have not systematically compared specialised regulatory-document scenarios such as QMS authoring.</w:t>
      </w:r>
    </w:p>
    <w:p>
      <w:pPr>
        <w:spacing w:before="80" w:after="80" w:lineRule="auto" w:line="360"/>
        <w:ind w:firstLine="0"/>
        <w:jc w:val="both"/>
      </w:pPr>
      <w:r>
        <w:rPr>
          <w:rFonts w:ascii="Times New Roman" w:hAnsi="Times New Roman" w:eastAsia="宋体"/>
          <w:b w:val="0"/>
          <w:sz w:val="22"/>
        </w:rPr>
        <w:t>A second, more fundamental concern relates to the evaluation methodology itself. LLM-generated outputs are now most commonly assessed using the LLM-as-judge paradigm, in which a separate LLM serves as the rater [5]. Long-form text generation evaluation [10] and large-scale human-preference benchmarking [11] have emerged as the principal evaluation paradigms in this literature. Prior work has documented that LLM judges tend to exhibit a self-preference bias, favouring outputs produced by models within their own family [6]. However, whether and how this bias manifests in specialised regulatory domains such as medical laboratory QMS, and how it propagates into configuration-comparison conclusions, has not been empirically characterised.</w:t>
      </w:r>
    </w:p>
    <w:p>
      <w:pPr>
        <w:spacing w:before="80" w:after="80" w:lineRule="auto" w:line="360"/>
        <w:ind w:firstLine="0"/>
        <w:jc w:val="both"/>
      </w:pPr>
      <w:r>
        <w:rPr>
          <w:rFonts w:ascii="Times New Roman" w:hAnsi="Times New Roman" w:eastAsia="宋体"/>
          <w:b w:val="0"/>
          <w:sz w:val="22"/>
        </w:rPr>
        <w:t>To address these gaps, the present study generated 486 QMS documents, collected 864 LLM-judge ratings, and obtained 30 blinded expert ratings to investigate the following research questions: (i) Which components of a system-prompt configuration—rules, document skeleton, detailed content, or worked examples—contribute most to the compliance of LLM-generated QMS documents? (ii) What is the minimum effective token budget? (iii) Does the optimal configuration generalise across generation models (Claude Opus 4.6 vs GPT-5.4)? (iv) What is the magnitude of LLM-judge self-preference bias in this domain? (v) Across a multi-tier evaluation framework combining automated scoring, LLM judges, and expert ratings, which configuration is the most robust?</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Configuration design</w:t>
      </w:r>
    </w:p>
    <w:p>
      <w:pPr>
        <w:spacing w:before="80" w:after="80" w:lineRule="auto" w:line="360"/>
        <w:ind w:firstLine="0"/>
        <w:jc w:val="both"/>
      </w:pPr>
      <w:r>
        <w:rPr>
          <w:rFonts w:ascii="Times New Roman" w:hAnsi="Times New Roman" w:eastAsia="宋体"/>
          <w:b w:val="0"/>
          <w:sz w:val="22"/>
        </w:rPr>
        <w:t>Nine controlled configurations were designed by systematic substitution along four prompt-content dimensions, varied across operationally relevant levels (three levels [absent / partial / full] for rules and document skeleton; binary [absent / present] for detailed content and worked examples): rules, skeleton, detailed content, and examples (Figure 1). Among them, A_bare (0 K) and B_simple (0.3 K) served as baselines; C_full (56 K) represented the full-context input strategy; E_rules_v2 (1.2 K) contained only the rules component; F_template (15 K) contained the complete template without rules; G_template_rules (16 K) combined rules and template; H2_keep_examples (25 K) retained examples in addition to G; H3_skeleton (5 K) preserved the module skeleton while removing detailed content; and H4_sop_only (2 K) preserved only the single SOP skeleton most relevant to the task. The letter D is intentionally skipped in the alphabetic sequence: D_rules was an earlier rules variant that was deprecated after expert validation revealed terminology errors, and was replaced by E_rules_v2; the gap is retained to preserve the chronological identifier scheme.</w:t>
      </w:r>
    </w:p>
    <w:p>
      <w:pPr>
        <w:spacing w:before="80" w:after="80" w:lineRule="auto" w:line="360"/>
        <w:ind w:firstLine="0"/>
        <w:jc w:val="both"/>
      </w:pPr>
      <w:r>
        <w:rPr>
          <w:rFonts w:ascii="Times New Roman" w:hAnsi="Times New Roman" w:eastAsia="宋体"/>
          <w:b w:val="0"/>
          <w:sz w:val="22"/>
        </w:rPr>
        <w:t>The rules component was based on rules.md (1.2 K) and revised through domain-expert review: three incorrect terminology mappings were removed (instrument → equipment, calibrator product → calibrator, inter-laboratory comparison → proficiency testing); three target terms were corrected (specimen → sample, test item → measurand, linear range → reportable range); and 10 verified mappings together with 7 categories of vague-expression prohibitions were retained. The skeleton component was extracted from the template library by the strip_to_skeleton algorithm, which preserved section headings, the introductory paragraph of each section, and form numbering lists, while removing verbatim clause excerpts, detailed table content, examples, detailed step lists, and fenced code blocks (markdown ... constructs containing process diagrams, JSON snippets, or pseudocode).</w:t>
      </w:r>
    </w:p>
    <w:p>
      <w:pPr>
        <w:spacing w:before="80" w:after="80" w:lineRule="auto" w:line="360"/>
        <w:ind w:firstLine="0"/>
        <w:jc w:val="both"/>
      </w:pPr>
      <w:r>
        <w:rPr>
          <w:rFonts w:ascii="Times New Roman" w:hAnsi="Times New Roman" w:eastAsia="宋体"/>
          <w:b w:val="0"/>
          <w:sz w:val="22"/>
        </w:rPr>
        <w:t>All token counts reported in this study (K = thousand tokens) were computed using the cl100k_base tokenizer (OpenAI tiktoken library) and divided by 1000; for mixed Chinese–English medical text, this tokenizer typically differs from the Anthropic-native tokenizer by ≤10%, and is used as a reproducible approximation.</w:t>
      </w:r>
    </w:p>
    <w:p>
      <w:pPr>
        <w:spacing w:before="200" w:after="80" w:lineRule="auto" w:line="300"/>
        <w:jc w:val="left"/>
      </w:pPr>
      <w:r>
        <w:rPr>
          <w:rFonts w:ascii="Arial" w:hAnsi="Arial" w:eastAsia="黑体"/>
          <w:b/>
          <w:sz w:val="24"/>
        </w:rPr>
        <w:t>2.2 Generation models and tasks</w:t>
      </w:r>
    </w:p>
    <w:p>
      <w:pPr>
        <w:spacing w:before="80" w:after="80" w:lineRule="auto" w:line="360"/>
        <w:ind w:firstLine="0"/>
        <w:jc w:val="both"/>
      </w:pPr>
      <w:r>
        <w:rPr>
          <w:rFonts w:ascii="Times New Roman" w:hAnsi="Times New Roman" w:eastAsia="宋体"/>
          <w:b w:val="0"/>
          <w:sz w:val="22"/>
        </w:rPr>
        <w:t>The primary experiment used Claude Opus 4.6 (Anthropic, San Francisco, CA, USA), accessed through the Claude Code Agent interface (Anthropic's command-line agent framework) operated in text-generation mode: sub-agents returned text-only responses and no agentic tool calls (file system, web access, code execution) were performed during document generation, although the Claude Code framework's tool definitions remain present in the framework-level system prompt (see §4.5 limitation xiii). The model was evaluated across 9 prompting configurations, 15 QMS authoring tasks, and 3 independent replicates per cell, yielding 405 documents. The 15 tasks were stratified by CNAS audit scenarios into three classes of five tasks each: Class A (document drafting; e.g., personnel-training and competence-evaluation control procedures), Class B (system operation; e.g., annual internal-audit checklists), and Class C (audit simulation; e.g., review reports for internal quality-control procedure documents). The full task list and the original prompts are openly archived in the GitHub repository under task_messages/ and configs/. For cross-model validation, GPT-5.4 (OpenAI, San Francisco, CA, USA) was accessed through the official openai Python SDK (v2.30.0) configured with the AIHubMix endpoint (https://aihubmix.com) as the base URL; this routing was used because direct access to the OpenAI API was unavailable from the authors' geographic region during the study period. (Output directories use a legacy gpt4o_* prefix carried over from an earlier scripting iteration; the actual runtime model in all calls was GPT-5.4 as supplied to the SDK model parameter.) GPT-5.4 was evaluated on the same 9 configurations across one representative task from each class (A1, B1, and C1, defined as the first task in each class by index) with 3 replicates, yielding 81 documents. Both models received identical system-prompt configurations within each experimental cell and were run with identical generation parameters: temperature = 1.0 and max_tokens = 12,000; all other generation parameters used model defaults. The relatively high sampling temperature was chosen to reflect realistic interactive use, and three independent replicates per cell were included to capture the resulting stochastic variability. All API calls were executed between 2 April 2026 and 14 April 2026.</w:t>
      </w:r>
    </w:p>
    <w:p>
      <w:pPr>
        <w:spacing w:before="200" w:after="80" w:lineRule="auto" w:line="300"/>
        <w:jc w:val="left"/>
      </w:pPr>
      <w:r>
        <w:rPr>
          <w:rFonts w:ascii="Arial" w:hAnsi="Arial" w:eastAsia="黑体"/>
          <w:b/>
          <w:sz w:val="24"/>
        </w:rPr>
        <w:t>2.3 Three-tier evaluation framework</w:t>
      </w:r>
    </w:p>
    <w:p>
      <w:pPr>
        <w:spacing w:before="80" w:after="80" w:lineRule="auto" w:line="360"/>
        <w:ind w:firstLine="0"/>
        <w:jc w:val="both"/>
      </w:pPr>
      <w:r>
        <w:rPr>
          <w:rFonts w:ascii="Times New Roman" w:hAnsi="Times New Roman" w:eastAsia="宋体"/>
          <w:b w:val="0"/>
          <w:sz w:val="22"/>
        </w:rPr>
        <w:t>Compliance was evaluated through a complementary three-tier framework: an automated rule-based scorer (Tier 1), dual LLM-as-judge review (Tiers 2a and 2b), and independent blinded expert review (Tier 3). All three tiers reported scores on a common 0–5 integer scale; Tier 1 used an algorithmic rubric tailored to features that can be reliably detected by rule-based code, whereas Tiers 2 and 3 shared the descriptive five-dimensional rubric defined in Table 2.</w:t>
      </w:r>
    </w:p>
    <w:p>
      <w:pPr>
        <w:spacing w:before="80" w:after="80" w:lineRule="auto" w:line="360"/>
        <w:ind w:firstLine="0"/>
        <w:jc w:val="both"/>
      </w:pPr>
      <w:r>
        <w:rPr>
          <w:rFonts w:ascii="Times New Roman" w:hAnsi="Times New Roman" w:eastAsia="宋体"/>
          <w:b w:val="0"/>
          <w:sz w:val="22"/>
        </w:rPr>
        <w:t>#### 2.3.1 Tier 1 — Automated compliance scoring</w:t>
      </w:r>
    </w:p>
    <w:p>
      <w:pPr>
        <w:spacing w:before="80" w:after="80" w:lineRule="auto" w:line="360"/>
        <w:ind w:firstLine="0"/>
        <w:jc w:val="both"/>
      </w:pPr>
      <w:r>
        <w:rPr>
          <w:rFonts w:ascii="Times New Roman" w:hAnsi="Times New Roman" w:eastAsia="宋体"/>
          <w:b w:val="0"/>
          <w:sz w:val="22"/>
        </w:rPr>
        <w:t xml:space="preserve">A Python automated compliance scorer (auto_scorer.py, openly released; see Data availability) rated all 486 documents on </w:t>
      </w:r>
      <w:r>
        <w:rPr>
          <w:rFonts w:ascii="Times New Roman" w:hAnsi="Times New Roman" w:eastAsia="宋体"/>
          <w:b/>
          <w:sz w:val="22"/>
        </w:rPr>
        <w:t>three primary dimensions</w:t>
      </w:r>
      <w:r>
        <w:rPr>
          <w:rFonts w:ascii="Times New Roman" w:hAnsi="Times New Roman" w:eastAsia="宋体"/>
          <w:b w:val="0"/>
          <w:sz w:val="22"/>
        </w:rPr>
        <w:t>, which were combined into a weighted composite score.</w:t>
      </w:r>
    </w:p>
    <w:p>
      <w:pPr>
        <w:spacing w:before="80" w:after="80" w:lineRule="auto" w:line="360"/>
        <w:ind w:firstLine="0"/>
        <w:jc w:val="both"/>
      </w:pPr>
      <w:r>
        <w:rPr>
          <w:rFonts w:ascii="Times New Roman" w:hAnsi="Times New Roman" w:eastAsia="宋体"/>
          <w:b/>
          <w:sz w:val="22"/>
        </w:rPr>
        <w:t>Format.</w:t>
      </w:r>
      <w:r>
        <w:rPr>
          <w:rFonts w:ascii="Times New Roman" w:hAnsi="Times New Roman" w:eastAsia="宋体"/>
          <w:b w:val="0"/>
          <w:sz w:val="22"/>
        </w:rPr>
        <w:t xml:space="preserve"> Required section headings were matched against task-class-specific lists (Class A procedure documents: 8 sections; Class B checklists/reports: 6 sections; Class C audit reports: 7 sections; common synonyms accepted), with additional checks for numbering depth and empty sections. Documents missing ≥3 required sections scored 1; those missing exactly one section scored 3.</w:t>
      </w:r>
    </w:p>
    <w:p>
      <w:pPr>
        <w:spacing w:before="80" w:after="80" w:lineRule="auto" w:line="360"/>
        <w:ind w:firstLine="0"/>
        <w:jc w:val="both"/>
      </w:pPr>
      <w:r>
        <w:rPr>
          <w:rFonts w:ascii="Times New Roman" w:hAnsi="Times New Roman" w:eastAsia="宋体"/>
          <w:b/>
          <w:sz w:val="22"/>
        </w:rPr>
        <w:t>Clause coverage.</w:t>
      </w:r>
      <w:r>
        <w:rPr>
          <w:rFonts w:ascii="Times New Roman" w:hAnsi="Times New Roman" w:eastAsia="宋体"/>
          <w:b w:val="0"/>
          <w:sz w:val="22"/>
        </w:rPr>
        <w:t xml:space="preserve"> Regular-expression matching identified ISO 15189:2022 clause identifiers from chapters 4–8 (e.g., 5.4.1), filtered by a ±40-character context window to suppress spurious matches. Documents citing ≥10 unique clauses with at least one CNAS-CL02:2023 reference scored 5; documents containing no standard reference scored 1.</w:t>
      </w:r>
    </w:p>
    <w:p>
      <w:pPr>
        <w:spacing w:before="80" w:after="80" w:lineRule="auto" w:line="360"/>
        <w:ind w:firstLine="0"/>
        <w:jc w:val="both"/>
      </w:pPr>
      <w:r>
        <w:rPr>
          <w:rFonts w:ascii="Times New Roman" w:hAnsi="Times New Roman" w:eastAsia="宋体"/>
          <w:b/>
          <w:sz w:val="22"/>
        </w:rPr>
        <w:t>Terminology compliance.</w:t>
      </w:r>
      <w:r>
        <w:rPr>
          <w:rFonts w:ascii="Times New Roman" w:hAnsi="Times New Roman" w:eastAsia="宋体"/>
          <w:b w:val="0"/>
          <w:sz w:val="22"/>
        </w:rPr>
        <w:t xml:space="preserve"> This dimension internally aggregates two complementary checks. (i) *Terminology mapping*: a 14-term mapping table aligned with the ISO 15189:2022 / CNAS-CL02:2023 vocabulary was applied; for example, 分析前过程 ("pre-analytical process") → 检验前过程 ("pre-examination process"), 标本 ("specimen") → 样品 ("sample"), and 不确定度 ("uncertainty") → 测量不确定度 ("measurement uncertainty"). Context-exclusion rules were applied to avoid false positives — for instance, 不确定度 occurring within the longer phrase 测量不确定度 was not flagged. (ii) *Vague-expression detection*: stock vague expressions characteristic of low-quality QMS drafts—including 及时 ("in a timely manner"), 相关人员 ("relevant personnel"), and 定期 ("periodically")—were detected using two complementary filters: a compound-word whitelist and a 30-character trailing window for explicit frequency quantifiers (e.g., a phrase anchored to "weekly" or "annually" was not flagged).</w:t>
      </w:r>
    </w:p>
    <w:p>
      <w:pPr>
        <w:spacing w:before="80" w:after="80" w:lineRule="auto" w:line="360"/>
        <w:ind w:firstLine="0"/>
        <w:jc w:val="both"/>
      </w:pPr>
      <w:r>
        <w:rPr>
          <w:rFonts w:ascii="Times New Roman" w:hAnsi="Times New Roman" w:eastAsia="宋体"/>
          <w:b/>
          <w:sz w:val="22"/>
        </w:rPr>
        <w:t>Composite score.</w:t>
      </w:r>
      <w:r>
        <w:rPr>
          <w:rFonts w:ascii="Times New Roman" w:hAnsi="Times New Roman" w:eastAsia="宋体"/>
          <w:b w:val="0"/>
          <w:sz w:val="22"/>
        </w:rPr>
        <w:t xml:space="preserve"> The three measured dimensions were combined into a weighted aggregate (auto_weighted) using format = 0.18, clause coverage = 0.22, and terminology = 0.13 — three of the seven weights defined in the WEIGHTS dictionary of auto_scorer.py. The remaining four entries of the dictionary (logical consistency = 0.18, operability = 0.10, safety compliance = 0.09, and manual-revision burden = 0.10; sum = 0.47) are vestigial entries from an earlier seven-dimension scoring plan that was superseded by the three-tier framework described in §2.3; they are not part of auto_weighted and therefore do not contribute to the Tier 1 ranking. The three implemented weights sum to 0.53, so auto_weighted has a theoretical range of [0.53, 2.65] on the 1–5 score scale. This sub-unit weight sum is a purely cosmetic feature of the scoring scale: rescaling every weight by 1/0.53 to renormalise to unit sum (≈ 0.34, 0.42, and 0.25 for format, clause coverage, and terminology, respectively) is a positive linear transformation of auto_weighted and therefore preserves both the per-configuration mean ordering and the min-max normalisation used to construct the composite ranking in §3.1 (Spearman ρ = 1.00 by construction). All Tier 1 rankings reported in §3 are consequently invariant to the choice between the original and the unit-sum weighting schemes.</w:t>
      </w:r>
    </w:p>
    <w:p>
      <w:pPr>
        <w:spacing w:before="80" w:after="80" w:lineRule="auto" w:line="360"/>
        <w:ind w:firstLine="0"/>
        <w:jc w:val="both"/>
      </w:pPr>
      <w:r>
        <w:rPr>
          <w:rFonts w:ascii="Times New Roman" w:hAnsi="Times New Roman" w:eastAsia="宋体"/>
          <w:b w:val="0"/>
          <w:sz w:val="22"/>
        </w:rPr>
        <w:t>#### 2.3.2 Tier 2 — LLM-as-judge</w:t>
      </w:r>
    </w:p>
    <w:p>
      <w:pPr>
        <w:spacing w:before="80" w:after="80" w:lineRule="auto" w:line="360"/>
        <w:ind w:firstLine="0"/>
        <w:jc w:val="both"/>
      </w:pPr>
      <w:r>
        <w:rPr>
          <w:rFonts w:ascii="Times New Roman" w:hAnsi="Times New Roman" w:eastAsia="宋体"/>
          <w:b w:val="0"/>
          <w:sz w:val="22"/>
        </w:rPr>
        <w:t>Two LLM judges were deployed in a 2 × 2 symmetric cross-model design—Claude-generated × Claude-judge, Claude-generated × GPT-judge, GPT-generated × Claude-judge, and GPT-generated × GPT-judge—enabling orthogonal decomposition of self-preference bias.</w:t>
      </w:r>
    </w:p>
    <w:p>
      <w:pPr>
        <w:spacing w:before="80" w:after="80" w:lineRule="auto" w:line="360"/>
        <w:ind w:firstLine="0"/>
        <w:jc w:val="both"/>
      </w:pPr>
      <w:r>
        <w:rPr>
          <w:rFonts w:ascii="Times New Roman" w:hAnsi="Times New Roman" w:eastAsia="宋体"/>
          <w:b/>
          <w:sz w:val="22"/>
        </w:rPr>
        <w:t>Tier 2a (Claude-as-judge).</w:t>
      </w:r>
      <w:r>
        <w:rPr>
          <w:rFonts w:ascii="Times New Roman" w:hAnsi="Times New Roman" w:eastAsia="宋体"/>
          <w:b w:val="0"/>
          <w:sz w:val="22"/>
        </w:rPr>
        <w:t xml:space="preserve"> Claude Opus 4.6 served as judge under a "CNAS chief assessor" role prompt (the JUDGE_PROMPT_TEMPLATE defined in gpt_cnas_judge.py, identical to the prompt used in Tier 2b), scoring each document on the five-dimensional rubric (Table 2) on a 0–5 scale. Generation parameters were temperature = 1.0 and max_tokens = 4,096; one rating was produced per document via a single API call. A total of 378 Claude-judge ratings were obtained, distributed as: 270 ratings covering the six core configurations (A_bare, B_simple, C_full, E_rules_v2, F_template, G_template_rules) × 15 tasks × 3 replicates of Claude-generated documents (per-document raw JSON fully released); 81 ratings covering all 9 configurations × A1/B1/C1 × 3 replicates of GPT-generated documents (archived as aggregated means; see §4.5, Limitation x); and 27 ratings covering the H-group configurations (H2_keep_examples, H3_skeleton, H4_sop_only) × A1/B1/C1 × 3 replicates of Claude-generated documents (also archived as aggregated means).</w:t>
      </w:r>
    </w:p>
    <w:p>
      <w:pPr>
        <w:spacing w:before="80" w:after="80" w:lineRule="auto" w:line="360"/>
        <w:ind w:firstLine="0"/>
        <w:jc w:val="both"/>
      </w:pPr>
      <w:r>
        <w:rPr>
          <w:rFonts w:ascii="Times New Roman" w:hAnsi="Times New Roman" w:eastAsia="宋体"/>
          <w:b/>
          <w:sz w:val="22"/>
        </w:rPr>
        <w:t>Tier 2b (GPT-as-judge).</w:t>
      </w:r>
      <w:r>
        <w:rPr>
          <w:rFonts w:ascii="Times New Roman" w:hAnsi="Times New Roman" w:eastAsia="宋体"/>
          <w:b w:val="0"/>
          <w:sz w:val="22"/>
        </w:rPr>
        <w:t xml:space="preserve"> GPT-5.4, accessed through the AIHubMix endpoint as described in §2.2, served as judge using exactly the same prompt, rubric, and 0–5 scale as Tier 2a, with identical generation parameters (temperature = 1.0, max_tokens = 4,096). All 486 generated documents were rated (405 Claude-generated + 81 GPT-generated), with one rating per document; per-document raw JSON files are fully retained and openly released. We verified that no judge output was truncated by the max_tokens cap: all 486 GPT-judge per-paper JSON files parsed successfully (zero parse errors), and the longest per-dimension reason string observed across both judges was 43 characters, well within the prompt-imposed 40-character soft cap and far below the 4,096-token output budget.</w:t>
      </w:r>
    </w:p>
    <w:p>
      <w:pPr>
        <w:spacing w:before="80" w:after="80" w:lineRule="auto" w:line="360"/>
        <w:ind w:firstLine="0"/>
        <w:jc w:val="both"/>
      </w:pPr>
      <w:r>
        <w:rPr>
          <w:rFonts w:ascii="Times New Roman" w:hAnsi="Times New Roman" w:eastAsia="宋体"/>
          <w:b w:val="0"/>
          <w:sz w:val="22"/>
        </w:rPr>
        <w:t>Combined, Tiers 2a and 2b yielded 864 LLM-judge ratings (378 Claude-judge + 486 GPT-judge). The asymmetric counts reflect that the Claude judge was not run on the H-group × full-15-task subset or on the complete GPT-generated set (see §4.5, Limitation x); critically, all four 2 × 2 cells were populated, although some at aggregated-mean level only (see §4.5, Limitation x), ensuring that the self-preference bias decomposition could be performed at the cell-mean level.</w:t>
      </w:r>
    </w:p>
    <w:p>
      <w:pPr>
        <w:spacing w:before="80" w:after="80" w:lineRule="auto" w:line="360"/>
        <w:ind w:firstLine="0"/>
        <w:jc w:val="both"/>
      </w:pPr>
      <w:r>
        <w:rPr>
          <w:rFonts w:ascii="Times New Roman" w:hAnsi="Times New Roman" w:eastAsia="宋体"/>
          <w:b/>
          <w:sz w:val="22"/>
        </w:rPr>
        <w:t>Scoring scale.</w:t>
      </w:r>
      <w:r>
        <w:rPr>
          <w:rFonts w:ascii="Times New Roman" w:hAnsi="Times New Roman" w:eastAsia="宋体"/>
          <w:b w:val="0"/>
          <w:sz w:val="22"/>
        </w:rPr>
        <w:t xml:space="preserve"> Each dimension was scored on a 0–5 integer scale: 5 = fully compliant (5-point anchor in Table 2); 4 = mostly compliant (between the 5- and 3-point anchors, minor issues only); 3 = partially compliant (3-point anchor); 2 = noticeably non-compliant (between the 3- and 1-point anchors); 1 = severely non-compliant (1-point anchor); and 0 = the dimension could not be evaluated because the document was essentially absent or non-substantive (e.g., the model returned only a planning query rather than the requested document). The 5/3/1 anchor descriptors were issued in identical wording to all judges (LLM and human); the intermediate scores 2 and 4 were assigned when the document fell between two adjacent anchors.</w:t>
      </w:r>
    </w:p>
    <w:p>
      <w:pPr>
        <w:spacing w:before="80" w:after="80" w:lineRule="auto" w:line="360"/>
        <w:ind w:firstLine="0"/>
        <w:jc w:val="both"/>
      </w:pPr>
      <w:r>
        <w:rPr>
          <w:rFonts w:ascii="Times New Roman" w:hAnsi="Times New Roman" w:eastAsia="宋体"/>
          <w:b/>
          <w:sz w:val="22"/>
        </w:rPr>
        <w:t>Table 2.</w:t>
      </w:r>
      <w:r>
        <w:rPr>
          <w:rFonts w:ascii="Times New Roman" w:hAnsi="Times New Roman" w:eastAsia="宋体"/>
          <w:b w:val="0"/>
          <w:sz w:val="22"/>
        </w:rPr>
        <w:t xml:space="preserve"> Five-dimensional descriptive rubric shared by Tiers 2a, 2b, and 3.</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Dimension</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5</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3</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1</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Clause coverage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"shall" requirements of the relevant clauses are operationalised through concrete measures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Major clauses are covered but with omissions or surface-level treatment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clauses are merely cited without implementation, or major omissions are evident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Operability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Every step has a named role (job title), a quantified deadline, and an explicit output (form ID)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steps are actionable; a few remain vague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Pervasive use of "in a timely manner", "relevant personnel", and "periodically" without operational detail</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Internal consistency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referenced documents and forms appear in the corresponding sections; responsibilities are cleanly assigned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 few dangling references or minor textual contradictions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Many dangling references or conflicting responsibility assignments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closure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An explicit Plan–Do–Check–Act chain with execution records, effectiveness evaluation, non-conformity handling, and improvement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 are present but A (improvement/feedback) is missing</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Execution steps only; no checking or improvement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Professional depth</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Contains laboratory-specific detail (e.g., Westgard rules, measurement uncertainty, Sigma metrics, HIL indices, blind testing, PCR zoning, cold chain)</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Some professional flavour, but largely generic</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Generic content equally applicable to any laboratory</w:t>
            </w:r>
          </w:p>
        </w:tc>
      </w:tr>
    </w:tbl>
    <w:p/>
    <w:p>
      <w:pPr>
        <w:spacing w:before="80" w:after="80" w:lineRule="auto" w:line="360"/>
        <w:ind w:firstLine="0"/>
        <w:jc w:val="both"/>
      </w:pPr>
      <w:r>
        <w:rPr>
          <w:rFonts w:ascii="Times New Roman" w:hAnsi="Times New Roman" w:eastAsia="宋体"/>
          <w:b w:val="0"/>
          <w:sz w:val="22"/>
        </w:rPr>
        <w:t>#### 2.3.3 Tier 3 — Expert review</w:t>
      </w:r>
    </w:p>
    <w:p>
      <w:pPr>
        <w:spacing w:before="80" w:after="80" w:lineRule="auto" w:line="360"/>
        <w:ind w:firstLine="0"/>
        <w:jc w:val="both"/>
      </w:pPr>
      <w:r>
        <w:rPr>
          <w:rFonts w:ascii="Times New Roman" w:hAnsi="Times New Roman" w:eastAsia="宋体"/>
          <w:b w:val="0"/>
          <w:sz w:val="22"/>
        </w:rPr>
        <w:t>Three qualified ISO 15189 internal auditors independently scored 10 blinded, stratified-randomly sampled documents using the same five-dimensional rubric (Table 2) as the LLM judges. Rater 1 was the first author, a qualified ISO 15189 internal auditor; Raters 2 and 3 were qualified ISO 15189 internal auditors from the same institution. To minimise self-influence, Rater 1 completed scoring without inspecting any Tier 1 or Tier 2 outputs in advance; the Tier 1/2 outputs for the sampled papers were reviewed only after all three rater sheets had been submitted. The three raters scored independently and without communication; Raters 2 and 3 completed their scoring with no access to Rater 1's ratings, and the three rating sets were merged only after all submissions had been received. Written informed consent was obtained from Raters 2 and 3 before scoring. During scoring, the experts were free to consult the complete texts of ISO 15189:2022 and CNAS-CL02:2023, including their annexes.</w:t>
      </w:r>
    </w:p>
    <w:p>
      <w:pPr>
        <w:spacing w:before="80" w:after="80" w:lineRule="auto" w:line="360"/>
        <w:ind w:firstLine="0"/>
        <w:jc w:val="both"/>
      </w:pPr>
      <w:r>
        <w:rPr>
          <w:rFonts w:ascii="Times New Roman" w:hAnsi="Times New Roman" w:eastAsia="宋体"/>
          <w:b/>
          <w:sz w:val="22"/>
        </w:rPr>
        <w:t>Sampling strategy.</w:t>
      </w:r>
      <w:r>
        <w:rPr>
          <w:rFonts w:ascii="Times New Roman" w:hAnsi="Times New Roman" w:eastAsia="宋体"/>
          <w:b w:val="0"/>
          <w:sz w:val="22"/>
        </w:rPr>
        <w:t xml:space="preserve"> Ten documents were drawn from the 486-document pool by stratified random sampling with a fixed Python random seed (seed = 42), stratified across seven configurations × Class A procedure-document tasks (A1, A2, A3) — yielding a 21-stratum frame. The seven configurations selected at this tier (A_bare, C_full, E_rules_v2, F_template, G_template_rules, H2_keep_examples, H4_sop_only) differ from the six-configuration set used at Tier 2a (§2.3.2): B_simple was excluded from the expert sample as a redundant low-quality baseline next to A_bare, H3_skeleton was excluded as a near-duplicate of H4_sop_only at the per-stratum sample size, and H2_keep_examples and H4_sop_only were added as informative endpoints of the H series. The sample size of 10 was chosen to balance expert workload against stratification coverage; not all 21 strata are represented in the final sample (one or two documents per realised stratum). Class A was chosen because it constitutes the most stable and audit-relevant document type in CNAS reviews; cross-class generalisation is acknowledged as a limitation in §4.5.</w:t>
      </w:r>
    </w:p>
    <w:p>
      <w:pPr>
        <w:spacing w:before="80" w:after="80" w:lineRule="auto" w:line="360"/>
        <w:ind w:firstLine="0"/>
        <w:jc w:val="both"/>
      </w:pPr>
      <w:r>
        <w:rPr>
          <w:rFonts w:ascii="Times New Roman" w:hAnsi="Times New Roman" w:eastAsia="宋体"/>
          <w:b/>
          <w:sz w:val="22"/>
        </w:rPr>
        <w:t>Conflict-of-interest declaration.</w:t>
      </w:r>
      <w:r>
        <w:rPr>
          <w:rFonts w:ascii="Times New Roman" w:hAnsi="Times New Roman" w:eastAsia="宋体"/>
          <w:b w:val="0"/>
          <w:sz w:val="22"/>
        </w:rPr>
        <w:t xml:space="preserve"> None of the three raters has any commercial, research, or consulting relationship with Anthropic, OpenAI, or any other LLM provider; none received funding or in-kind support from these entities for this study.</w:t>
      </w:r>
    </w:p>
    <w:p>
      <w:pPr>
        <w:spacing w:before="80" w:after="80" w:lineRule="auto" w:line="360"/>
        <w:ind w:firstLine="0"/>
        <w:jc w:val="both"/>
      </w:pPr>
      <w:r>
        <w:rPr>
          <w:rFonts w:ascii="Times New Roman" w:hAnsi="Times New Roman" w:eastAsia="宋体"/>
          <w:b/>
          <w:sz w:val="22"/>
        </w:rPr>
        <w:t>Pre-scoring calibration.</w:t>
      </w:r>
      <w:r>
        <w:rPr>
          <w:rFonts w:ascii="Times New Roman" w:hAnsi="Times New Roman" w:eastAsia="宋体"/>
          <w:b w:val="0"/>
          <w:sz w:val="22"/>
        </w:rPr>
        <w:t xml:space="preserve"> No formal pre-scoring calibration session was conducted; the three raters scored independently using only the published five-dimensional rubric (Table 2) and the ISO 15189:2022 / CNAS-CL02:2023 standards. The absence of formal calibration is acknowledged as a methodological limitation in §4.5 (xii).</w:t>
      </w:r>
    </w:p>
    <w:p>
      <w:pPr>
        <w:spacing w:before="80" w:after="80" w:lineRule="auto" w:line="360"/>
        <w:ind w:firstLine="0"/>
        <w:jc w:val="both"/>
      </w:pPr>
      <w:r>
        <w:rPr>
          <w:rFonts w:ascii="Times New Roman" w:hAnsi="Times New Roman" w:eastAsia="宋体"/>
          <w:b/>
          <w:sz w:val="22"/>
        </w:rPr>
        <w:t>Blinding procedure.</w:t>
      </w:r>
      <w:r>
        <w:rPr>
          <w:rFonts w:ascii="Times New Roman" w:hAnsi="Times New Roman" w:eastAsia="宋体"/>
          <w:b w:val="0"/>
          <w:sz w:val="22"/>
        </w:rPr>
        <w:t xml:space="preserve"> Blinding was implemented at four levels (script: prepare_blind_review.py, openly released):</w:t>
      </w:r>
    </w:p>
    <w:p>
      <w:pPr>
        <w:spacing w:before="80" w:after="80" w:lineRule="auto" w:line="360"/>
        <w:ind w:firstLine="0"/>
        <w:jc w:val="both"/>
      </w:pPr>
      <w:r>
        <w:rPr>
          <w:rFonts w:ascii="Times New Roman" w:hAnsi="Times New Roman" w:eastAsia="宋体"/>
          <w:b w:val="0"/>
          <w:sz w:val="22"/>
        </w:rPr>
        <w:t>(i) *File renaming.* Each sampled document was copied from its original path outputs/{group}/{group}-{task}-{rep}.md to a flat anonymised series paper_01.md … paper_10.md, removing the configuration-group and replicate identifiers from both the filename and the directory structure presented to the experts.</w:t>
      </w:r>
    </w:p>
    <w:p>
      <w:pPr>
        <w:spacing w:before="80" w:after="80" w:lineRule="auto" w:line="360"/>
        <w:ind w:firstLine="0"/>
        <w:jc w:val="both"/>
      </w:pPr>
      <w:r>
        <w:rPr>
          <w:rFonts w:ascii="Times New Roman" w:hAnsi="Times New Roman" w:eastAsia="宋体"/>
          <w:b w:val="0"/>
          <w:sz w:val="22"/>
        </w:rPr>
        <w:t>(ii) *Content sanitisation.* An automated text scan of all 10 blinded files confirmed zero occurrences of any model identifier ("Claude", "GPT", "Opus") or configuration-group token ("H4", "C_full", "G_template", "F_template", "H2_keep", "E_rules_v2", "A_bare", "H3_skeleton") within the document body, ensuring that the model and configuration source could not be inferred from the text.</w:t>
      </w:r>
    </w:p>
    <w:p>
      <w:pPr>
        <w:spacing w:before="80" w:after="80" w:lineRule="auto" w:line="360"/>
        <w:ind w:firstLine="0"/>
        <w:jc w:val="both"/>
      </w:pPr>
      <w:r>
        <w:rPr>
          <w:rFonts w:ascii="Times New Roman" w:hAnsi="Times New Roman" w:eastAsia="宋体"/>
          <w:b w:val="0"/>
          <w:sz w:val="22"/>
        </w:rPr>
        <w:t>(iii) *Order randomisation.* The assignment of (group, task, replicate) triples to paper_01–paper_10 was shuffled using a fixed Python random seed (seed = 42), producing an identical presentation order for all three experts. Only the task category (e.g., "Personnel training and competence-evaluation control procedure") was disclosed in the rating sheet, because this information is intrinsic to the document content and necessary for assessment; the underlying configuration group remained hidden.</w:t>
      </w:r>
    </w:p>
    <w:p>
      <w:pPr>
        <w:spacing w:before="80" w:after="80" w:lineRule="auto" w:line="360"/>
        <w:ind w:firstLine="0"/>
        <w:jc w:val="both"/>
      </w:pPr>
      <w:r>
        <w:rPr>
          <w:rFonts w:ascii="Times New Roman" w:hAnsi="Times New Roman" w:eastAsia="宋体"/>
          <w:b w:val="0"/>
          <w:sz w:val="22"/>
        </w:rPr>
        <w:t>(iv) *Key isolation.* The (paper_id → group, task, replicate) mapping (blind_review/key.json) was sealed before scoring began and was unsealed only after all three expert rating sheets had been submitted.</w:t>
      </w:r>
    </w:p>
    <w:p>
      <w:pPr>
        <w:spacing w:before="200" w:after="80" w:lineRule="auto" w:line="300"/>
        <w:jc w:val="left"/>
      </w:pPr>
      <w:r>
        <w:rPr>
          <w:rFonts w:ascii="Arial" w:hAnsi="Arial" w:eastAsia="黑体"/>
          <w:b/>
          <w:sz w:val="24"/>
        </w:rPr>
        <w:t>2.4 Statistical analysis</w:t>
      </w:r>
    </w:p>
    <w:p>
      <w:pPr>
        <w:spacing w:before="80" w:after="80" w:lineRule="auto" w:line="360"/>
        <w:ind w:firstLine="0"/>
        <w:jc w:val="both"/>
      </w:pPr>
      <w:r>
        <w:rPr>
          <w:rFonts w:ascii="Times New Roman" w:hAnsi="Times New Roman" w:eastAsia="宋体"/>
          <w:b w:val="0"/>
          <w:sz w:val="22"/>
        </w:rPr>
        <w:t>#### 2.4.1 Pairwise group comparisons and multiplicity correction</w:t>
      </w:r>
    </w:p>
    <w:p>
      <w:pPr>
        <w:spacing w:before="80" w:after="80" w:lineRule="auto" w:line="360"/>
        <w:ind w:firstLine="0"/>
        <w:jc w:val="both"/>
      </w:pPr>
      <w:r>
        <w:rPr>
          <w:rFonts w:ascii="Times New Roman" w:hAnsi="Times New Roman" w:eastAsia="宋体"/>
          <w:b w:val="0"/>
          <w:sz w:val="22"/>
        </w:rPr>
        <w:t>Pairwise between-configuration comparisons were performed using two-sided Mann–Whitney U tests (scipy.stats.mannwhitneyu, scipy v1.10.1) on per-document GPT-judge scores, with each configuration contributing n = 45 ratings (15 tasks × 3 replicates). Multiplicity within the four-component ablation was controlled by the Benjamini–Hochberg false-discovery-rate (FDR) procedure (statsmodels.stats.multitest.multipletests (statsmodels v0.14.6), method = fdr_bh; α = 0.05). FDR was preferred over Bonferroni correction because the four pre-specified contrasts share overlapping configurations (e.g., G_template_rules appears in both the *detailed content* and *worked examples* contrasts) and are therefore not statistically independent; under such structured testing, the Benjamini–Hochberg procedure provides a more powerful yet still rigorous control of the expected proportion of false discoveries. Bootstrap 95% confidence intervals for each Δ effect estimate were computed using the nonparametric percentile method with B = 10,000 resamples and a fixed seed (42), drawing each group's resamples independently with replacement (numpy random.choice); the lower and upper interval limits were taken as the 2.5th and 97.5th percentiles of the resampled Δ distribution. The bootstrap reference implementation is provided in bootstrap_ci.py of the released code repository.</w:t>
      </w:r>
    </w:p>
    <w:p>
      <w:pPr>
        <w:spacing w:before="80" w:after="80" w:lineRule="auto" w:line="360"/>
        <w:ind w:firstLine="0"/>
        <w:jc w:val="both"/>
      </w:pPr>
      <w:r>
        <w:rPr>
          <w:rFonts w:ascii="Times New Roman" w:hAnsi="Times New Roman" w:eastAsia="宋体"/>
          <w:b w:val="0"/>
          <w:sz w:val="22"/>
        </w:rPr>
        <w:t>#### 2.4.2 Quantification of configuration-component effects</w:t>
      </w:r>
    </w:p>
    <w:p>
      <w:pPr>
        <w:spacing w:before="80" w:after="80" w:lineRule="auto" w:line="360"/>
        <w:ind w:firstLine="0"/>
        <w:jc w:val="both"/>
      </w:pPr>
      <w:r>
        <w:rPr>
          <w:rFonts w:ascii="Times New Roman" w:hAnsi="Times New Roman" w:eastAsia="宋体"/>
          <w:b w:val="0"/>
          <w:sz w:val="22"/>
        </w:rPr>
        <w:t>The four configuration-component effects were defined through targeted pairwise contrasts, each designed to isolate one dimension while holding the remaining three as constant as possible:</w:t>
      </w:r>
    </w:p>
    <w:p>
      <w:pPr>
        <w:pStyle w:val="ListBullet"/>
        <w:spacing w:before="40" w:after="40" w:lineRule="auto" w:line="360"/>
      </w:pPr>
      <w:r>
        <w:rPr>
          <w:rFonts w:ascii="Times New Roman" w:hAnsi="Times New Roman" w:eastAsia="宋体"/>
          <w:b w:val="0"/>
          <w:sz w:val="22"/>
        </w:rPr>
        <w:t>*rules*: E_rules_v2 vs A_bare</w:t>
      </w:r>
    </w:p>
    <w:p>
      <w:pPr>
        <w:pStyle w:val="ListBullet"/>
        <w:spacing w:before="40" w:after="40" w:lineRule="auto" w:line="360"/>
      </w:pPr>
      <w:r>
        <w:rPr>
          <w:rFonts w:ascii="Times New Roman" w:hAnsi="Times New Roman" w:eastAsia="宋体"/>
          <w:b w:val="0"/>
          <w:sz w:val="22"/>
        </w:rPr>
        <w:t>*document skeleton*: H4_sop_only vs E_rules_v2</w:t>
      </w:r>
    </w:p>
    <w:p>
      <w:pPr>
        <w:pStyle w:val="ListBullet"/>
        <w:spacing w:before="40" w:after="40" w:lineRule="auto" w:line="360"/>
      </w:pPr>
      <w:r>
        <w:rPr>
          <w:rFonts w:ascii="Times New Roman" w:hAnsi="Times New Roman" w:eastAsia="宋体"/>
          <w:b w:val="0"/>
          <w:sz w:val="22"/>
        </w:rPr>
        <w:t>*detailed content*: G_template_rules vs H3_skeleton</w:t>
      </w:r>
    </w:p>
    <w:p>
      <w:pPr>
        <w:pStyle w:val="ListBullet"/>
        <w:spacing w:before="40" w:after="40" w:lineRule="auto" w:line="360"/>
      </w:pPr>
      <w:r>
        <w:rPr>
          <w:rFonts w:ascii="Times New Roman" w:hAnsi="Times New Roman" w:eastAsia="宋体"/>
          <w:b w:val="0"/>
          <w:sz w:val="22"/>
        </w:rPr>
        <w:t>*worked examples*: H2_keep_examples vs G_template_rules</w:t>
      </w:r>
    </w:p>
    <w:p>
      <w:pPr>
        <w:spacing w:before="80" w:after="80" w:lineRule="auto" w:line="360"/>
        <w:ind w:firstLine="0"/>
        <w:jc w:val="both"/>
      </w:pPr>
      <w:r>
        <w:rPr>
          <w:rFonts w:ascii="Times New Roman" w:hAnsi="Times New Roman" w:eastAsia="宋体"/>
          <w:b w:val="0"/>
          <w:sz w:val="22"/>
        </w:rPr>
        <w:t>For each contrast, the effect size Δ was defined as a simple arithmetic mean difference, Δ = mean(group_B) − mean(group_A), where each group mean was the unweighted average of the 45 per-document GPT-judge scores in the corresponding configuration. No covariates, random effects, weighting, or shrinkage were applied. The same 45-per-configuration sample served as input to the Mann–Whitney U test reported alongside each Δ. L9 orthogonal-array decomposition, least-squares-means estimation, and mixed-effects modelling were not used, as the targeted-contrast scheme provides a more transparent and directly interpretable estimate for the substitution contrasts of interest.</w:t>
      </w:r>
    </w:p>
    <w:p>
      <w:pPr>
        <w:spacing w:before="80" w:after="80" w:lineRule="auto" w:line="360"/>
        <w:ind w:firstLine="0"/>
        <w:jc w:val="both"/>
      </w:pPr>
      <w:r>
        <w:rPr>
          <w:rFonts w:ascii="Times New Roman" w:hAnsi="Times New Roman" w:eastAsia="宋体"/>
          <w:b w:val="0"/>
          <w:sz w:val="22"/>
        </w:rPr>
        <w:t>#### 2.4.3 Inter-rater agreement</w:t>
      </w:r>
    </w:p>
    <w:p>
      <w:pPr>
        <w:spacing w:before="80" w:after="80" w:lineRule="auto" w:line="360"/>
        <w:ind w:firstLine="0"/>
        <w:jc w:val="both"/>
      </w:pPr>
      <w:r>
        <w:rPr>
          <w:rFonts w:ascii="Times New Roman" w:hAnsi="Times New Roman" w:eastAsia="宋体"/>
          <w:b w:val="0"/>
          <w:sz w:val="22"/>
        </w:rPr>
        <w:t>Inter-rater agreement was characterised using three complementary measures, each reported in full because they capture distinct aspects of agreement: Pearson correlation captures linear association while tolerating systematic shifts between raters; Spearman correlation captures rank-order agreement without assuming linearity; and intraclass correlation coefficients (ICCs) quantify reliability under the standard framework of Shrout and Fleiss [13]. Four ICC variants were applied:</w:t>
      </w:r>
    </w:p>
    <w:p>
      <w:pPr>
        <w:pStyle w:val="ListBullet"/>
        <w:spacing w:before="40" w:after="40" w:lineRule="auto" w:line="360"/>
      </w:pPr>
      <w:r>
        <w:rPr>
          <w:rFonts w:ascii="Times New Roman" w:hAnsi="Times New Roman" w:eastAsia="宋体"/>
          <w:b/>
          <w:sz w:val="22"/>
        </w:rPr>
        <w:t>ICC(2,1)</w:t>
      </w:r>
      <w:r>
        <w:rPr>
          <w:rFonts w:ascii="Times New Roman" w:hAnsi="Times New Roman" w:eastAsia="宋体"/>
          <w:b w:val="0"/>
          <w:sz w:val="22"/>
        </w:rPr>
        <w:t xml:space="preserve"> — single-rater absolute agreement, two-way random effects;</w:t>
      </w:r>
    </w:p>
    <w:p>
      <w:pPr>
        <w:pStyle w:val="ListBullet"/>
        <w:spacing w:before="40" w:after="40" w:lineRule="auto" w:line="360"/>
      </w:pPr>
      <w:r>
        <w:rPr>
          <w:rFonts w:ascii="Times New Roman" w:hAnsi="Times New Roman" w:eastAsia="宋体"/>
          <w:b/>
          <w:sz w:val="22"/>
        </w:rPr>
        <w:t>ICC(3,1)</w:t>
      </w:r>
      <w:r>
        <w:rPr>
          <w:rFonts w:ascii="Times New Roman" w:hAnsi="Times New Roman" w:eastAsia="宋体"/>
          <w:b w:val="0"/>
          <w:sz w:val="22"/>
        </w:rPr>
        <w:t xml:space="preserve"> — single-rater consistency, two-way mixed effects;</w:t>
      </w:r>
    </w:p>
    <w:p>
      <w:pPr>
        <w:pStyle w:val="ListBullet"/>
        <w:spacing w:before="40" w:after="40" w:lineRule="auto" w:line="360"/>
      </w:pPr>
      <w:r>
        <w:rPr>
          <w:rFonts w:ascii="Times New Roman" w:hAnsi="Times New Roman" w:eastAsia="宋体"/>
          <w:b/>
          <w:sz w:val="22"/>
        </w:rPr>
        <w:t>ICC(2,k)</w:t>
      </w:r>
      <w:r>
        <w:rPr>
          <w:rFonts w:ascii="Times New Roman" w:hAnsi="Times New Roman" w:eastAsia="宋体"/>
          <w:b w:val="0"/>
          <w:sz w:val="22"/>
        </w:rPr>
        <w:t xml:space="preserve"> — k-rater averaged absolute agreement;</w:t>
      </w:r>
    </w:p>
    <w:p>
      <w:pPr>
        <w:pStyle w:val="ListBullet"/>
        <w:spacing w:before="40" w:after="40" w:lineRule="auto" w:line="360"/>
      </w:pPr>
      <w:r>
        <w:rPr>
          <w:rFonts w:ascii="Times New Roman" w:hAnsi="Times New Roman" w:eastAsia="宋体"/>
          <w:b/>
          <w:sz w:val="22"/>
        </w:rPr>
        <w:t>ICC(3,k)</w:t>
      </w:r>
      <w:r>
        <w:rPr>
          <w:rFonts w:ascii="Times New Roman" w:hAnsi="Times New Roman" w:eastAsia="宋体"/>
          <w:b w:val="0"/>
          <w:sz w:val="22"/>
        </w:rPr>
        <w:t xml:space="preserve"> — k-rater averaged consistency.</w:t>
      </w:r>
    </w:p>
    <w:p>
      <w:pPr>
        <w:spacing w:before="80" w:after="80" w:lineRule="auto" w:line="360"/>
        <w:ind w:firstLine="0"/>
        <w:jc w:val="both"/>
      </w:pPr>
      <w:r>
        <w:rPr>
          <w:rFonts w:ascii="Times New Roman" w:hAnsi="Times New Roman" w:eastAsia="宋体"/>
          <w:b w:val="0"/>
          <w:sz w:val="22"/>
        </w:rPr>
        <w:t>The single-rater variants ICC(2,1) and ICC(3,1) were used for pairwise comparisons (e.g., expert mean vs each LLM judge, and pairwise comparisons within the expert panel), whereas the k-rater averaged variants ICC(2,k) and ICC(3,k) (k = 3) were used to characterise the overall reliability of the three-expert panel. All ICCs were computed using the pingouin Python library (v0.6.1).</w:t>
      </w:r>
    </w:p>
    <w:p>
      <w:pPr>
        <w:spacing w:before="80" w:after="80" w:lineRule="auto" w:line="360"/>
        <w:ind w:firstLine="0"/>
        <w:jc w:val="both"/>
      </w:pPr>
      <w:r>
        <w:rPr>
          <w:rFonts w:ascii="Times New Roman" w:hAnsi="Times New Roman" w:eastAsia="宋体"/>
          <w:b w:val="0"/>
          <w:sz w:val="22"/>
        </w:rPr>
        <w:t>#### 2.4.4 Self-preference bias</w:t>
      </w:r>
    </w:p>
    <w:p>
      <w:pPr>
        <w:spacing w:before="80" w:after="80" w:lineRule="auto" w:line="360"/>
        <w:ind w:firstLine="0"/>
        <w:jc w:val="both"/>
      </w:pPr>
      <w:r>
        <w:rPr>
          <w:rFonts w:ascii="Times New Roman" w:hAnsi="Times New Roman" w:eastAsia="宋体"/>
          <w:b w:val="0"/>
          <w:sz w:val="22"/>
        </w:rPr>
        <w:t>For each model M ∈ {Claude Opus 4.6, GPT-5.4} acting as judge, the self-preference bias was quantified following the classical convention of Panickssery et al. [6] — same judge, different generators:</w:t>
      </w:r>
    </w:p>
    <w:p>
      <w:pPr>
        <w:spacing w:before="80" w:after="80" w:lineRule="auto" w:line="360"/>
        <w:ind w:firstLine="0"/>
        <w:jc w:val="both"/>
      </w:pPr>
      <w:r>
        <w:rPr>
          <w:rFonts w:ascii="Times New Roman" w:hAnsi="Times New Roman" w:eastAsia="宋体"/>
          <w:b w:val="0"/>
          <w:sz w:val="22"/>
        </w:rPr>
        <w:t>bias_M = mean(judge = M, generator = M) − mean(judge = M, generator = M′),</w:t>
      </w:r>
    </w:p>
    <w:p>
      <w:pPr>
        <w:spacing w:before="80" w:after="80" w:lineRule="auto" w:line="360"/>
        <w:ind w:firstLine="0"/>
        <w:jc w:val="both"/>
      </w:pPr>
      <w:r>
        <w:rPr>
          <w:rFonts w:ascii="Times New Roman" w:hAnsi="Times New Roman" w:eastAsia="宋体"/>
          <w:b w:val="0"/>
          <w:sz w:val="22"/>
        </w:rPr>
        <w:t>where M′ denotes the counterpart model. Positive values indicate that judge M rates outputs from its own generator family more favourably than outputs from the counterpart generator; negative values indicate the converse. As a sensitivity check, we additionally computed an alternative cross-judge formulation — same generator, different judges (bias_M = mean(judge = M, generator = M) − mean(judge = M′, generator = M)) — and obtained values of +0.464 (Claude) and −0.472 (GPT), preserving the sign and direction of the classical estimates (+0.294 and −0.301) reported in §3.4.</w:t>
      </w:r>
    </w:p>
    <w:p>
      <w:pPr>
        <w:spacing w:before="80" w:after="80" w:lineRule="auto" w:line="360"/>
        <w:ind w:firstLine="0"/>
        <w:jc w:val="both"/>
      </w:pPr>
      <w:r>
        <w:rPr>
          <w:rFonts w:ascii="Times New Roman" w:hAnsi="Times New Roman" w:eastAsia="宋体"/>
          <w:b w:val="0"/>
          <w:sz w:val="22"/>
        </w:rPr>
        <w:t>#### 2.4.5 Note on the experimental design</w:t>
      </w:r>
    </w:p>
    <w:p>
      <w:pPr>
        <w:spacing w:before="80" w:after="80" w:lineRule="auto" w:line="360"/>
        <w:ind w:firstLine="0"/>
        <w:jc w:val="both"/>
      </w:pPr>
      <w:r>
        <w:rPr>
          <w:rFonts w:ascii="Times New Roman" w:hAnsi="Times New Roman" w:eastAsia="宋体"/>
          <w:b w:val="0"/>
          <w:sz w:val="22"/>
        </w:rPr>
        <w:t xml:space="preserve">The nine evaluated configurations do not constitute a Taguchi L9 orthogonal array. They were instead designed as a structured subset of the four-dimensional configuration space (rules, document skeleton, detailed content, worked examples), in which dimensions are varied across operationally relevant levels: </w:t>
      </w:r>
      <w:r>
        <w:rPr>
          <w:rFonts w:ascii="Times New Roman" w:hAnsi="Times New Roman" w:eastAsia="宋体"/>
          <w:b/>
          <w:sz w:val="22"/>
        </w:rPr>
        <w:t>three levels (absent / partial / full) for rules and document skeleton</w:t>
      </w:r>
      <w:r>
        <w:rPr>
          <w:rFonts w:ascii="Times New Roman" w:hAnsi="Times New Roman" w:eastAsia="宋体"/>
          <w:b w:val="0"/>
          <w:sz w:val="22"/>
        </w:rPr>
        <w:t xml:space="preserve">, and </w:t>
      </w:r>
      <w:r>
        <w:rPr>
          <w:rFonts w:ascii="Times New Roman" w:hAnsi="Times New Roman" w:eastAsia="宋体"/>
          <w:b/>
          <w:sz w:val="22"/>
        </w:rPr>
        <w:t>binary (absent / present) for detailed content and worked examples</w:t>
      </w:r>
      <w:r>
        <w:rPr>
          <w:rFonts w:ascii="Times New Roman" w:hAnsi="Times New Roman" w:eastAsia="宋体"/>
          <w:b w:val="0"/>
          <w:sz w:val="22"/>
        </w:rPr>
        <w:t>. Configurations were selected to isolate each dimension through the targeted pairwise contrasts described in §2.4.2 rather than to satisfy the balanced-orthogonality criteria of an L9 design. Δ effect estimates therefore correspond to the specific configuration pairs listed in §2.4.2 and are not reweighted to a balanced full-factorial reference.</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Configuration ranking under the combined automated and LLM-judge evaluation</w:t>
      </w:r>
    </w:p>
    <w:p>
      <w:pPr>
        <w:spacing w:before="80" w:after="80" w:lineRule="auto" w:line="360"/>
        <w:ind w:firstLine="0"/>
        <w:jc w:val="both"/>
      </w:pPr>
      <w:r>
        <w:rPr>
          <w:rFonts w:ascii="Times New Roman" w:hAnsi="Times New Roman" w:eastAsia="宋体"/>
          <w:b w:val="0"/>
          <w:sz w:val="22"/>
        </w:rPr>
        <w:t>Across the 405 Claude Opus 4.6–generated documents, the nine configurations were ranked using a composite score that combined the Tier 1 automated scorer mean and the Tier 2 LLM-judge mean (averaged across the Claude and GPT judges); each component was min-max normalised to [0, 1] across the nine configurations and then averaged with equal weight. From highest to lowest composite score, the ranking was: H4_sop_only (~2,000 tokens; 0.994), H3_skeleton (~5,000 tokens; 0.869), G_template_rules (~16,000 tokens; 0.851), H2_keep_examples (~25,000 tokens; 0.759), E_rules_v2 (~1,200 tokens; 0.729), C_full (~56,000 tokens; 0.493), F_template (~15,000 tokens; 0.345), B_simple (~300 tokens; 0.227), and A_bare (0 tokens; 0.000). H4_sop_only therefore achieved the highest composite score with the smallest token budget among configurations that included rules — a finding that, as reported in §3.5, did not survive expert evaluation.</w:t>
      </w:r>
    </w:p>
    <w:p>
      <w:pPr>
        <w:spacing w:before="200" w:after="80" w:lineRule="auto" w:line="300"/>
        <w:jc w:val="left"/>
      </w:pPr>
      <w:r>
        <w:rPr>
          <w:rFonts w:ascii="Arial" w:hAnsi="Arial" w:eastAsia="黑体"/>
          <w:b/>
          <w:sz w:val="24"/>
        </w:rPr>
        <w:t>3.2 Four-component substitution-contrast ablation</w:t>
      </w:r>
    </w:p>
    <w:p>
      <w:pPr>
        <w:spacing w:before="80" w:after="80" w:lineRule="auto" w:line="360"/>
        <w:ind w:firstLine="0"/>
        <w:jc w:val="both"/>
      </w:pPr>
      <w:r>
        <w:rPr>
          <w:rFonts w:ascii="Times New Roman" w:hAnsi="Times New Roman" w:eastAsia="宋体"/>
          <w:b w:val="0"/>
          <w:sz w:val="22"/>
        </w:rPr>
        <w:t>All four ablation effects are reported with raw p-values, Benjamini–Hochberg–adjusted p-values, and 95% bootstrap confidence intervals (B = 10,000 resamples; seed = 42). The rules component was the only factor reaching significance after correction (Δ = +0.511; 95% CI [+0.28, +0.75]; raw p &lt; 0.001; BH-adjusted p &lt; 0.001). The document-skeleton component (Δ = +0.213; 95% CI [+0.05, +0.39]; raw p = 0.055; BH-adjusted p = 0.11) showed a directionally positive effect; although the bootstrap CI excludes zero, the BH-adjusted p does not reach the 0.05 threshold. This discrepancy reflects that the CI was computed on the simple mean difference whereas inference used the rank-based Mann–Whitney U test; we therefore interpret the skeleton effect as suggestive evidence requiring independent replication. Detailed content (G_template_rules vs H3_skeleton: Δ = −0.031; 95% CI [−0.19, +0.12]; raw p = 0.79; BH-adjusted p = 0.79) and worked examples (H2_keep_examples vs G_template_rules: Δ = −0.053; 95% CI [−0.21, +0.11]; raw p = 0.46; BH-adjusted p = 0.61) showed no detectable contribution. As a descriptive supplementary contrast outside the four-component BH set, H4_sop_only and H3_skeleton did not differ (Δ = −0.009; raw p = 0.80; reported uncorrected), suggesting that, at the LLM-judge tier, the task-specific SOP skeleton (~2,000 tokens) and the full module skeleton (~5,000 tokens) are functionally equivalent. The ablation results reported in this section pertain to the LLM-judge tier (specifically the Tier 2b GPT-judge ratings, per §2.4.1); the corresponding expert-tier comparisons are presented in §3.5.</w:t>
      </w:r>
    </w:p>
    <w:p>
      <w:pPr>
        <w:spacing w:before="200" w:after="80" w:lineRule="auto" w:line="300"/>
        <w:jc w:val="left"/>
      </w:pPr>
      <w:r>
        <w:rPr>
          <w:rFonts w:ascii="Arial" w:hAnsi="Arial" w:eastAsia="黑体"/>
          <w:b/>
          <w:sz w:val="24"/>
        </w:rPr>
        <w:t>3.3 2 × 2 symmetric cross-model validation</w:t>
      </w:r>
    </w:p>
    <w:p>
      <w:pPr>
        <w:spacing w:before="80" w:after="80" w:lineRule="auto" w:line="360"/>
        <w:ind w:firstLine="0"/>
        <w:jc w:val="both"/>
      </w:pPr>
      <w:r>
        <w:rPr>
          <w:rFonts w:ascii="Times New Roman" w:hAnsi="Times New Roman" w:eastAsia="宋体"/>
          <w:b w:val="0"/>
          <w:sz w:val="22"/>
        </w:rPr>
        <w:t>Figure 2 presents the 2 × 2 symmetric matrix (n = 9 configurations × 4 quadrants). C_full exhibited a marked drop in performance under GPT generation (GPT-gen × Claude-judge mean 1.40; GPT-gen × GPT-judge mean 1.84), whereas the same C_full under Claude generation produced cross-evaluated scores of 3.22–4.56. This indicates that the apparent usability of the 56 K full-context configuration under Claude Opus is model-specific rather than a general result. GPT-5.4 under the 56 K configuration exhibited failure modes including instruction-following degradation, structural breakdown, and clause-citation confusion.</w:t>
      </w:r>
    </w:p>
    <w:p>
      <w:pPr>
        <w:spacing w:before="200" w:after="80" w:lineRule="auto" w:line="300"/>
        <w:jc w:val="left"/>
      </w:pPr>
      <w:r>
        <w:rPr>
          <w:rFonts w:ascii="Arial" w:hAnsi="Arial" w:eastAsia="黑体"/>
          <w:b/>
          <w:sz w:val="24"/>
        </w:rPr>
        <w:t>3.4 Self-preference bias of LLM judges</w:t>
      </w:r>
    </w:p>
    <w:p>
      <w:pPr>
        <w:spacing w:before="80" w:after="80" w:lineRule="auto" w:line="360"/>
        <w:ind w:firstLine="0"/>
        <w:jc w:val="both"/>
      </w:pPr>
      <w:r>
        <w:rPr>
          <w:rFonts w:ascii="Times New Roman" w:hAnsi="Times New Roman" w:eastAsia="宋体"/>
          <w:b w:val="0"/>
          <w:sz w:val="22"/>
        </w:rPr>
        <w:t>Computed using the Panickssery classical formula defined in §2.4.4 (bias_M = mean(judge = M, generator = M) − mean(judge = M, generator = M′)), the mean bias of the Claude judge across the nine configurations was +0.294 on the 0–5 Likert scale (positive in 6 of 9 configurations; the largest single-configuration value, +3.156, occurred at C_full). The mean bias of the GPT judge was −0.301 (negative in 6 of 9 configurations, with positive values at A_bare and B_simple and zero at F_template). The two judges therefore agreed in direction: across configurations, both effectively rated Claude-generated outputs approximately 0.30 points higher than GPT-generated outputs, despite using nominally opposite-signed self-preference indices. When C_full was excluded as the dominant outlier, the Claude-judge mean bias attenuated to −0.064 (median across the nine configurations: +0.200) and the GPT-judge mean bias attenuated to −0.167 (median: −0.311), indicating that the Panickssery indices reported above are disproportionately driven by C_full, where the long-context failure modes documented in §3.3 amplify cross-judge disagreement.</w:t>
      </w:r>
    </w:p>
    <w:p>
      <w:pPr>
        <w:spacing w:before="80" w:after="80" w:lineRule="auto" w:line="360"/>
        <w:ind w:firstLine="0"/>
        <w:jc w:val="both"/>
      </w:pPr>
      <w:r>
        <w:rPr>
          <w:rFonts w:ascii="Times New Roman" w:hAnsi="Times New Roman" w:eastAsia="宋体"/>
          <w:b w:val="0"/>
          <w:sz w:val="22"/>
        </w:rPr>
        <w:t>By construction, this opposite-signed pattern is incompatible with the classical self-preference phenomenon, in which each judge would inflate ratings of its own family — a pattern that would produce same-signed positive biases for both judges. Instead, the observed pattern is compatible with two non-mutually-exclusive interpretations: (a) a genuine generation-level quality difference between Claude Opus 4.6 and GPT-5.4 under the parameters tested, consistent with the C_full failure modes documented in §3.3; and (b) systematic style or format preferences shared by both judges that favour the Claude-generated phrasing. Because the Tier 3 expert sample (n = 10) consisted entirely of Claude-generated documents (§2.3.3), the present study cannot empirically discriminate between these two interpretations; we identify this as a key direction for follow-up validation (§4.5, Limitation i).</w:t>
      </w:r>
    </w:p>
    <w:p>
      <w:pPr>
        <w:spacing w:before="80" w:after="80" w:lineRule="auto" w:line="360"/>
        <w:ind w:firstLine="0"/>
        <w:jc w:val="both"/>
      </w:pPr>
      <w:r>
        <w:rPr>
          <w:rFonts w:ascii="Times New Roman" w:hAnsi="Times New Roman" w:eastAsia="宋体"/>
          <w:b w:val="0"/>
          <w:sz w:val="22"/>
        </w:rPr>
        <w:t>To examine configuration ranking after removing same-judge self-evaluation, we re-ranked the nine configurations using only cross-model evaluations, retaining for each configuration the per-document Claude-judge → GPT-generated and GPT-judge → Claude-generated mean scores and averaging the two. Under this debiased ranking, the top four configurations on the 0–5 Likert scale were G_template_rules (4.211), H3_skeleton (4.167), E_rules_v2 (4.133), and H4_sop_only (4.100); their largest pairwise difference was Δ = 0.111, indicating that the four were statistically indistinguishable. C_full dropped from sixth in the §3.1 composite ranking to ninth (mean = 2.310), confirming that the high LLM-judge rating of C_full under Claude generation was substantially driven both by Claude-judge inflation of its family's output and by the inability of GPT-5.4 to produce usable output at the ~56,000-token configuration (§3.3).</w:t>
      </w:r>
    </w:p>
    <w:p>
      <w:pPr>
        <w:spacing w:before="200" w:after="80" w:lineRule="auto" w:line="300"/>
        <w:jc w:val="left"/>
      </w:pPr>
      <w:r>
        <w:rPr>
          <w:rFonts w:ascii="Arial" w:hAnsi="Arial" w:eastAsia="黑体"/>
          <w:b/>
          <w:sz w:val="24"/>
        </w:rPr>
        <w:t>3.5 Expert-tier validation</w:t>
      </w:r>
    </w:p>
    <w:p>
      <w:pPr>
        <w:spacing w:before="80" w:after="80" w:lineRule="auto" w:line="360"/>
        <w:ind w:firstLine="0"/>
        <w:jc w:val="both"/>
      </w:pPr>
      <w:r>
        <w:rPr>
          <w:rFonts w:ascii="Times New Roman" w:hAnsi="Times New Roman" w:eastAsia="宋体"/>
          <w:b w:val="0"/>
          <w:sz w:val="22"/>
        </w:rPr>
        <w:t>Inter-rater agreement among the three experts was excellent: ICC(2,k) = 0.982 (95% CI [0.95, 1.00]) and ICC(3,k) = 0.981. The pairwise single-rater agreements were ICC(2,1) = 0.948 (R1 vs R2), 0.928 (R1 vs R3), and 0.969 (R2 vs R3) — all in the "excellent" range (&gt; 0.90 by the Cicchetti benchmark [15]). This level of agreement indicates that the five-dimensional rubric (Table 2) was highly reproducible across raters; however, because all three raters were affiliated with the same institution, the observed reliability may overestimate the agreement achievable across institutions (see §4.5, Limitation ii).</w:t>
      </w:r>
    </w:p>
    <w:p>
      <w:pPr>
        <w:spacing w:before="80" w:after="80" w:lineRule="auto" w:line="360"/>
        <w:ind w:firstLine="0"/>
        <w:jc w:val="both"/>
      </w:pPr>
      <w:r>
        <w:rPr>
          <w:rFonts w:ascii="Times New Roman" w:hAnsi="Times New Roman" w:eastAsia="宋体"/>
          <w:b w:val="0"/>
          <w:sz w:val="22"/>
        </w:rPr>
        <w:t>Agreement between the expert mean and the two LLM judges was substantially lower (Figure 3). The Claude judge yielded ICC(3,1) = 0.548 (p = 0.04), Pearson r = 0.573, and Spearman ρ = 0.509; the GPT judge yielded ICC(3,1) = 0.217 (p = 0.26) and Pearson r = 0.259. On the 0–5 Likert scale, both LLM judges systematically overestimated the expert-determined compliance scores: by 0.905 points for the Claude judge and by 0.525 points for the GPT judge (mean difference defined as expert − LLM judge, yielding values of −0.905 and −0.525, respectively). Claude–expert agreement was therefore at a moderate level, whereas GPT–expert agreement was poor.</w:t>
      </w:r>
    </w:p>
    <w:p>
      <w:pPr>
        <w:spacing w:before="80" w:after="80" w:lineRule="auto" w:line="360"/>
        <w:ind w:firstLine="0"/>
        <w:jc w:val="both"/>
      </w:pPr>
      <w:r>
        <w:rPr>
          <w:rFonts w:ascii="Times New Roman" w:hAnsi="Times New Roman" w:eastAsia="宋体"/>
          <w:b w:val="0"/>
          <w:sz w:val="22"/>
        </w:rPr>
        <w:t>When ranked by the expert mean across the seven sampled configurations (10 documents in total; per-stratum n = 1 or 2), the configurations ordered from highest to lowest were: F_template 4.24 (n = 1), H2_keep_examples 4.07 (n = 1), G_template_rules 4.06 (n = 2), C_full 3.45 (n = 2), H4_sop_only 3.20 (n = 2), E_rules_v2 3.19 (n = 1), and A_bare 3.04 (n = 1). The configuration ranked first at the LLM-judge tier — H4_sop_only (~2,000 tokens) — fell to fifth of seven (the third position from the bottom) under expert evaluation, only 0.16 points above the no-prompt baseline A_bare. The largest LLM-judge overestimation was observed for C_full and H4_sop_only (mean difference = expert − LLM-judges mean = −1.00 and −1.05, respectively), suggesting that although these two configurations achieve structural completeness and terminological compliance — the dimensions most readily captured by automated and LLM-based scoring — they lack the clinical-practice depth that is detectable only by expert reviewers. The three top-ranked configurations under expert evaluation (F_template, H2_keep_examples, G_template_rules) were all template-anchored configurations containing detailed content, indicating that the apparent token efficiency of skeleton-only configurations at the LLM-judge tier does not translate into expert-validated compliance. Given the small per-stratum sample (n = 1 or 2), these expert rankings should be treated as exploratory and warrant replication with a larger expert sample.</w:t>
      </w:r>
    </w:p>
    <w:p>
      <w:pPr>
        <w:spacing w:before="200" w:after="80" w:lineRule="auto" w:line="300"/>
        <w:jc w:val="left"/>
      </w:pPr>
      <w:r>
        <w:rPr>
          <w:rFonts w:ascii="Arial" w:hAnsi="Arial" w:eastAsia="黑体"/>
          <w:b/>
          <w:sz w:val="24"/>
        </w:rPr>
        <w:t>3.6 Token size and compliance scores: divergent relationships across evaluation tiers</w:t>
      </w:r>
    </w:p>
    <w:p>
      <w:pPr>
        <w:spacing w:before="80" w:after="80" w:lineRule="auto" w:line="360"/>
        <w:ind w:firstLine="0"/>
        <w:jc w:val="both"/>
      </w:pPr>
      <w:r>
        <w:rPr>
          <w:rFonts w:ascii="Times New Roman" w:hAnsi="Times New Roman" w:eastAsia="宋体"/>
          <w:b w:val="0"/>
          <w:sz w:val="22"/>
        </w:rPr>
        <w:t>Figure 4 plots compliance scores against system-prompt token size for the three evaluators, all derived from the n = 10 expert-blinded subset (seven configurations; per-stratum n = 1 or 2). At the LLM-judge tier, the Claude-judge curve generally increased with token size, peaking at 4.90 at C_full (~56,000 tokens) with a small dip at H2_keep_examples; the GPT-judge curve peaked at G_template_rules (~16,000 tokens; 4.50) and was relatively flat (~4.0) at both ends of the token range, including C_full. At the expert tier, the curve peaked in the template region (F_template at ~15,000 tokens, expert mean = 4.24; G_template_rules at ~16,000 tokens, 4.06) and declined at both extremes, falling to ~3.20 at H4_sop_only (~2,000 tokens) and 3.45 at C_full (~56,000 tokens). The expert–LLM divergence followed a U-shaped pattern across the token axis: large at low-token configurations (gap ≈ 0.8–1.1 points at A_bare, E_rules_v2, and H4_sop_only) and again at the high-token extreme (gap ≈ 1.0 at C_full), but converging in the 15–25-K template region (gap ≤ 0.6). Both LLM-judge curves placed the low-token region near or above the template region, whereas the expert curve placed the template region clearly above all other configurations. This pattern indicates that token-efficiency-oriented optimisation and clinical-usability-oriented optimisation correspond to two divergent optimisation objectives in the medical-laboratory QMS generation scenario; the Tier 2 LLM-judge perspective overestimates the quality of both short-prompt configurations and the C_full configuration relative to what the expert tier validates.</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Prompt minimisation holds at the LLM-judge tier but not at the expert tier</w:t>
      </w:r>
    </w:p>
    <w:p>
      <w:pPr>
        <w:spacing w:before="80" w:after="80" w:lineRule="auto" w:line="360"/>
        <w:ind w:firstLine="0"/>
        <w:jc w:val="both"/>
      </w:pPr>
      <w:r>
        <w:rPr>
          <w:rFonts w:ascii="Times New Roman" w:hAnsi="Times New Roman" w:eastAsia="宋体"/>
          <w:b w:val="0"/>
          <w:sz w:val="22"/>
        </w:rPr>
        <w:t>The four-component ablation supports a parsimonious account at the LLM-judge tier: the rules component was necessary (BH-adjusted p &lt; 0.001), the document-skeleton component contributed a directionally positive but non-significant effect (BH-adjusted p = 0.11), and neither detailed content nor worked examples produced detectable compliance gains (§3.2). This pattern aligns with the lost-in-the-middle phenomenon described by Liu et al. [3] — in which appending large volumes of contextual material to long prompts can dilute model attention and degrade output quality — and with prompt-engineering literature more broadly [12].</w:t>
      </w:r>
    </w:p>
    <w:p>
      <w:pPr>
        <w:spacing w:before="80" w:after="80" w:lineRule="auto" w:line="360"/>
        <w:ind w:firstLine="0"/>
        <w:jc w:val="both"/>
      </w:pPr>
      <w:r>
        <w:rPr>
          <w:rFonts w:ascii="Times New Roman" w:hAnsi="Times New Roman" w:eastAsia="宋体"/>
          <w:b w:val="0"/>
          <w:sz w:val="22"/>
        </w:rPr>
        <w:t>The expert-tier analysis qualifies this simplification (§3.5). Detailed content—the full document template embedded in F_template and G_template_rules—was associated with substantially higher expert-rated compliance than skeleton-only configurations: on the 0–5 Likert scale, F_template scored 4.24 (n = 1) and G_template_rules scored 4.06 (n = 2), compared with 3.20 (n = 2) for H4_sop_only, an apparent difference of approximately one point (these per-stratum samples are small and the comparison should therefore be interpreted as exploratory; see §3.5). A plausible explanation is that the model's internalised knowledge does not reliably cover the clinical-practice sub-scenarios required by ISO 15189:2022 and CNAS-CL02:2023—including, in our task set, emergency-sample handling, the acceptance of patient-self-collected specimens, qualification requirements for sample-courier personnel, and detailed criteria for sample rejection. When such sub-scenarios are not supplied explicitly through the system prompt, the model tends to default to generic procedural language that satisfies the structural and terminological criteria captured by automated and LLM-based scoring (§3.6) but lacks the operational depth that expert reviewers identify as the threshold for accreditation-grade documentation. Prompt minimisation is therefore appropriate when the goal is rapid drafting under LLM-only review, whereas template-anchored prompts are required when expert-validated compliance is the target.</w:t>
      </w:r>
    </w:p>
    <w:p>
      <w:pPr>
        <w:spacing w:before="200" w:after="80" w:lineRule="auto" w:line="300"/>
        <w:jc w:val="left"/>
      </w:pPr>
      <w:r>
        <w:rPr>
          <w:rFonts w:ascii="Arial" w:hAnsi="Arial" w:eastAsia="黑体"/>
          <w:b/>
          <w:sz w:val="24"/>
        </w:rPr>
        <w:t>4.2 The full-context trap is model-dependent</w:t>
      </w:r>
    </w:p>
    <w:p>
      <w:pPr>
        <w:spacing w:before="80" w:after="80" w:lineRule="auto" w:line="360"/>
        <w:ind w:firstLine="0"/>
        <w:jc w:val="both"/>
      </w:pPr>
      <w:r>
        <w:rPr>
          <w:rFonts w:ascii="Times New Roman" w:hAnsi="Times New Roman" w:eastAsia="宋体"/>
          <w:b w:val="0"/>
          <w:sz w:val="22"/>
        </w:rPr>
        <w:t>While template anchoring improves expert-rated compliance (§4.1), even maximally extending the prompt can be counter-productive when the underlying model lacks reliable long-context handling. C_full (~56,000 tokens) represents an intuitively safe configuration: it includes all potentially relevant material and reflects the common heuristic that providing more context produces more reliable output. In our data this heuristic was not borne out across the two generation models. Whereas Claude Opus 4.6 generation under C_full produced cross-evaluated mean scores of 3.22–4.56 on the 0–5 Likert scale (§3.3), GPT-5.4 generation under the same configuration produced scores of only 1.40–1.84 (based on 9 documents covering 3 representative tasks × 3 replicates), accompanied by the three recurrent failure modes documented in §3.3—instruction-following degradation, structural breakdown, and clause-citation confusion. A plausible explanation, consistent with the lost-in-the-middle phenomenon described by Liu et al. [3] and with the long-context benchmarks reported in the model vendors' technical documentation [1, 2], is that Claude Opus 4.6 maintained more stable attention over long contexts in the relevant length regime, whereas GPT-5.4, within the parameters tested here, did not preserve coherent compliance with system-prompt constraints at this scale.</w:t>
      </w:r>
    </w:p>
    <w:p>
      <w:pPr>
        <w:spacing w:before="80" w:after="80" w:lineRule="auto" w:line="360"/>
        <w:ind w:firstLine="0"/>
        <w:jc w:val="both"/>
      </w:pPr>
      <w:r>
        <w:rPr>
          <w:rFonts w:ascii="Times New Roman" w:hAnsi="Times New Roman" w:eastAsia="宋体"/>
          <w:b w:val="0"/>
          <w:sz w:val="22"/>
        </w:rPr>
        <w:t>The methodological implication is that any claim of the form "configuration X is acceptable" requires validation across multiple generation models. Single-model evaluation entangles configuration effects with idiosyncratic model characteristics—including long-context handling, instruction-following stability, and the degree of overlap between the model's training distribution and the target regulatory domain—and therefore provides no basis for cross-model extrapolation. We accordingly caution against the operational deployment of long-context QMS prompts (e.g., those approaching or exceeding ~50,000 tokens) under any LLM until the configuration has been validated for that specific model and version, particularly because long-context behaviour can change substantially between model families and even between successive versions of a single family.</w:t>
      </w:r>
    </w:p>
    <w:p>
      <w:pPr>
        <w:spacing w:before="200" w:after="80" w:lineRule="auto" w:line="300"/>
        <w:jc w:val="left"/>
      </w:pPr>
      <w:r>
        <w:rPr>
          <w:rFonts w:ascii="Arial" w:hAnsi="Arial" w:eastAsia="黑体"/>
          <w:b/>
          <w:sz w:val="24"/>
        </w:rPr>
        <w:t>4.3 Bias profile and appropriate use of LLM-as-judge</w:t>
      </w:r>
    </w:p>
    <w:p>
      <w:pPr>
        <w:spacing w:before="80" w:after="80" w:lineRule="auto" w:line="360"/>
        <w:ind w:firstLine="0"/>
        <w:jc w:val="both"/>
      </w:pPr>
      <w:r>
        <w:rPr>
          <w:rFonts w:ascii="Times New Roman" w:hAnsi="Times New Roman" w:eastAsia="宋体"/>
          <w:b w:val="0"/>
          <w:sz w:val="22"/>
        </w:rPr>
        <w:t>The present study quantified two distinct categories of rating bias. The first is a cross-judge directional pattern: both LLM judges rated Claude-generated outputs approximately 0.30 points higher than GPT-generated outputs on the 0–5 Likert scale (Panickssery classical estimates: +0.29 for the Claude judge and −0.30 for the GPT judge; §3.4). This opposite-signed pattern is incompatible with classical same-family self-preference—which would predict same-signed positive biases for both judges—and is therefore attributable either to a genuine generation-quality gap between Claude Opus 4.6 and GPT-5.4 or to judge-side preferences for the Claude-generated stylistic register that are shared by both LLM judges. As noted in §4.2 and §4.5(i), the present design—in which expert evaluation was restricted to Claude-generated documents—cannot fully disambiguate these interpretations, although the GPT-specific failure modes documented in §3.3 (instruction-following degradation, structural breakdown, and clause-citation confusion) provide indirect support for a genuine quality contribution. The second category is a systematic LLM–expert offset: both LLM judges overestimated expert-determined compliance by 0.52–0.90 points on the same scale (§3.5).</w:t>
      </w:r>
    </w:p>
    <w:p>
      <w:pPr>
        <w:spacing w:before="80" w:after="80" w:lineRule="auto" w:line="360"/>
        <w:ind w:firstLine="0"/>
        <w:jc w:val="both"/>
      </w:pPr>
      <w:r>
        <w:rPr>
          <w:rFonts w:ascii="Times New Roman" w:hAnsi="Times New Roman" w:eastAsia="宋体"/>
          <w:b w:val="0"/>
          <w:sz w:val="22"/>
        </w:rPr>
        <w:t>Translating these biases into operational guidance, the Claude judge—whose ranking achieved moderate agreement with the three-expert mean [ICC(3,1) = 0.548, p = 0.04]—may serve as a coarse first-pass filter in large-scale generation pipelines, screening out clearly low-quality outputs before expert review. The GPT judge's poor expert agreement [ICC(3,1) = 0.217, p = 0.26] precludes its use as a proxy for expert assessment in this domain. For documents intended for accreditation submission, formal QMS adoption, or operational deployment, expert final review remains indispensable. The configuration-level operational implications of these biases are summarised in §4.4 (Table 6).</w:t>
      </w:r>
    </w:p>
    <w:p>
      <w:pPr>
        <w:spacing w:before="200" w:after="80" w:lineRule="auto" w:line="300"/>
        <w:jc w:val="left"/>
      </w:pPr>
      <w:r>
        <w:rPr>
          <w:rFonts w:ascii="Arial" w:hAnsi="Arial" w:eastAsia="黑体"/>
          <w:b/>
          <w:sz w:val="24"/>
        </w:rPr>
        <w:t>4.4 Configuration recommendations stratified by use scenario</w:t>
      </w:r>
    </w:p>
    <w:p>
      <w:pPr>
        <w:spacing w:before="80" w:after="80" w:lineRule="auto" w:line="360"/>
        <w:ind w:firstLine="0"/>
        <w:jc w:val="both"/>
      </w:pPr>
      <w:r>
        <w:rPr>
          <w:rFonts w:ascii="Times New Roman" w:hAnsi="Times New Roman" w:eastAsia="宋体"/>
          <w:b w:val="0"/>
          <w:sz w:val="22"/>
        </w:rPr>
        <w:t>Synthesising the evidence from the three evaluation tiers, we summarise configuration recommendations for the principal QMS-generation use scenarios in Table 6. The recommendations reflect the key trade-off identified in §3.5 and §3.6: configurations that score highest at the LLM-judge tier (H4_sop_only, E_rules_v2) are the most token-efficient but lack the clinical-practice depth required for accreditation-grade documentation, whereas template-anchored configurations (F_template, G_template_rules) are penalised at the LLM-judge tier yet produce the highest expert-rated compliance.</w:t>
      </w:r>
    </w:p>
    <w:p>
      <w:pPr>
        <w:spacing w:before="80" w:after="80" w:lineRule="auto" w:line="360"/>
        <w:ind w:firstLine="0"/>
        <w:jc w:val="both"/>
      </w:pPr>
      <w:r>
        <w:rPr>
          <w:rFonts w:ascii="Times New Roman" w:hAnsi="Times New Roman" w:eastAsia="宋体"/>
          <w:b/>
          <w:sz w:val="22"/>
        </w:rPr>
        <w:t>Table 6.</w:t>
      </w:r>
      <w:r>
        <w:rPr>
          <w:rFonts w:ascii="Times New Roman" w:hAnsi="Times New Roman" w:eastAsia="宋体"/>
          <w:b w:val="0"/>
          <w:sz w:val="22"/>
        </w:rPr>
        <w:t xml:space="preserve"> Configuration recommendations stratified by use scenario.</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Use scenario</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Recommended configuration</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Rationale</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Trade-off</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Rapid first-draft generation; internal iteration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E_rules_v2</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~1,000–2,000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Near-optimal at the LLM-judge tier; highest token efficiency</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Batch drafting of multiple SOPs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H3_skeleton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~2,000–5,000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Task-specific skeleton plus 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Formal documents for CNAS submission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expert-rated compliance; cross-model robust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Complete quality manual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or 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~15,000–16,000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scores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~56,000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Collapses under GPT-5.4 generation; lowest cross-evaluation rank under debiasing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 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0–~300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Insufficient prompt anchoring; below the practical compliance baseline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A practical end-to-end workflow emerging from these data is to: (i) generate a rapid first draft using H4_sop_only; (ii) supplement clinical-practice detail through manual review or targeted re-prompting; and (iii) regenerate or refine the final accreditation-grade document using G_template_rules.</w:t>
      </w:r>
    </w:p>
    <w:p>
      <w:pPr>
        <w:spacing w:before="200" w:after="80" w:lineRule="auto" w:line="300"/>
        <w:jc w:val="left"/>
      </w:pPr>
      <w:r>
        <w:rPr>
          <w:rFonts w:ascii="Arial" w:hAnsi="Arial" w:eastAsia="黑体"/>
          <w:b/>
          <w:sz w:val="24"/>
        </w:rPr>
        <w:t>4.5 Limitations</w:t>
      </w:r>
    </w:p>
    <w:p>
      <w:pPr>
        <w:spacing w:before="80" w:after="80" w:lineRule="auto" w:line="360"/>
        <w:ind w:firstLine="0"/>
        <w:jc w:val="both"/>
      </w:pPr>
      <w:r>
        <w:rPr>
          <w:rFonts w:ascii="Times New Roman" w:hAnsi="Times New Roman" w:eastAsia="宋体"/>
          <w:b w:val="0"/>
          <w:sz w:val="22"/>
        </w:rPr>
        <w:t>The present study has the following limitations.</w:t>
      </w:r>
    </w:p>
    <w:p>
      <w:pPr>
        <w:spacing w:before="80" w:after="80" w:lineRule="auto" w:line="360"/>
        <w:ind w:firstLine="0"/>
        <w:jc w:val="both"/>
      </w:pPr>
      <w:r>
        <w:rPr>
          <w:rFonts w:ascii="Times New Roman" w:hAnsi="Times New Roman" w:eastAsia="宋体"/>
          <w:b/>
          <w:sz w:val="22"/>
        </w:rPr>
        <w:t>(i) Limited expert sample, restricted to Claude-generated documents.</w:t>
      </w:r>
      <w:r>
        <w:rPr>
          <w:rFonts w:ascii="Times New Roman" w:hAnsi="Times New Roman" w:eastAsia="宋体"/>
          <w:b w:val="0"/>
          <w:sz w:val="22"/>
        </w:rPr>
        <w:t xml:space="preserve"> The expert tier comprised three raters scoring 10 documents (per-stratum n = 1 or 2; see §3.5), all drawn from the Claude-generation pool; no GPT-generated documents underwent expert evaluation. The present design therefore supports only directional ranking conclusions for Claude-generated documents and does not permit strict statistical inference. Consequently, the §3.4 ambiguity between (a) a genuine generation-quality gap between Claude Opus 4.6 and GPT-5.4 and (b) shared judge-side stylistic preferences cannot be resolved within the present sample. Multi-centre validation with three to five raters scoring 30–50 documents per institution—including matched GPT-generated samples—is a key direction for future work.</w:t>
      </w:r>
    </w:p>
    <w:p>
      <w:pPr>
        <w:spacing w:before="80" w:after="80" w:lineRule="auto" w:line="360"/>
        <w:ind w:firstLine="0"/>
        <w:jc w:val="both"/>
      </w:pPr>
      <w:r>
        <w:rPr>
          <w:rFonts w:ascii="Times New Roman" w:hAnsi="Times New Roman" w:eastAsia="宋体"/>
          <w:b/>
          <w:sz w:val="22"/>
        </w:rPr>
        <w:t>(ii) Same-institution agreement may overestimate generalisability.</w:t>
      </w:r>
      <w:r>
        <w:rPr>
          <w:rFonts w:ascii="Times New Roman" w:hAnsi="Times New Roman" w:eastAsia="宋体"/>
          <w:b w:val="0"/>
          <w:sz w:val="22"/>
        </w:rPr>
        <w:t xml:space="preserve"> The very high agreement among the three experts [ICC(2,k) = 0.982] both supports the validity of the five-dimensional rubric and likely reflects shared professional culture, training lineage, and clause-interpretation habits within a single institution. The observed reliability may therefore overestimate cross-institution generalisability.</w:t>
      </w:r>
    </w:p>
    <w:p>
      <w:pPr>
        <w:spacing w:before="80" w:after="80" w:lineRule="auto" w:line="360"/>
        <w:ind w:firstLine="0"/>
        <w:jc w:val="both"/>
      </w:pPr>
      <w:r>
        <w:rPr>
          <w:rFonts w:ascii="Times New Roman" w:hAnsi="Times New Roman" w:eastAsia="宋体"/>
          <w:b/>
          <w:sz w:val="22"/>
        </w:rPr>
        <w:t>(iii) Dual role of the first author.</w:t>
      </w:r>
      <w:r>
        <w:rPr>
          <w:rFonts w:ascii="Times New Roman" w:hAnsi="Times New Roman" w:eastAsia="宋体"/>
          <w:b w:val="0"/>
          <w:sz w:val="22"/>
        </w:rPr>
        <w:t xml:space="preserve"> The first author served both as Rater 1 and as study designer. To mitigate self-influence, Raters 2 and 3 completed their scoring without access to Rater 1's prior ratings, and the per-rater data are openly released for independent audit.</w:t>
      </w:r>
    </w:p>
    <w:p>
      <w:pPr>
        <w:spacing w:before="80" w:after="80" w:lineRule="auto" w:line="360"/>
        <w:ind w:firstLine="0"/>
        <w:jc w:val="both"/>
      </w:pPr>
      <w:r>
        <w:rPr>
          <w:rFonts w:ascii="Times New Roman" w:hAnsi="Times New Roman" w:eastAsia="宋体"/>
          <w:b/>
          <w:sz w:val="22"/>
        </w:rPr>
        <w:t>(iv) Shared rubric between expert and LLM tiers.</w:t>
      </w:r>
      <w:r>
        <w:rPr>
          <w:rFonts w:ascii="Times New Roman" w:hAnsi="Times New Roman" w:eastAsia="宋体"/>
          <w:b w:val="0"/>
          <w:sz w:val="22"/>
        </w:rPr>
        <w:t xml:space="preserve"> The five-dimensional rubric was applied identically by LLM judges and expert raters, introducing a risk of shared-measurement bias. Future work should incorporate expert-native dimensions—such as operational implementability under departmental workflow constraints—that LLM judges are unlikely to have internalised from training data.</w:t>
      </w:r>
    </w:p>
    <w:p>
      <w:pPr>
        <w:spacing w:before="80" w:after="80" w:lineRule="auto" w:line="360"/>
        <w:ind w:firstLine="0"/>
        <w:jc w:val="both"/>
      </w:pPr>
      <w:r>
        <w:rPr>
          <w:rFonts w:ascii="Times New Roman" w:hAnsi="Times New Roman" w:eastAsia="宋体"/>
          <w:b/>
          <w:sz w:val="22"/>
        </w:rPr>
        <w:t>(v) Limited GPT-5.4 task coverage.</w:t>
      </w:r>
      <w:r>
        <w:rPr>
          <w:rFonts w:ascii="Times New Roman" w:hAnsi="Times New Roman" w:eastAsia="宋体"/>
          <w:b w:val="0"/>
          <w:sz w:val="22"/>
        </w:rPr>
        <w:t xml:space="preserve"> Only the A1, B1, and C1 tasks were generated by GPT-5.4 (81 documents), restricting cross-model conclusions to a three-task subset.</w:t>
      </w:r>
    </w:p>
    <w:p>
      <w:pPr>
        <w:spacing w:before="80" w:after="80" w:lineRule="auto" w:line="360"/>
        <w:ind w:firstLine="0"/>
        <w:jc w:val="both"/>
      </w:pPr>
      <w:r>
        <w:rPr>
          <w:rFonts w:ascii="Times New Roman" w:hAnsi="Times New Roman" w:eastAsia="宋体"/>
          <w:b/>
          <w:sz w:val="22"/>
        </w:rPr>
        <w:t>(vi) Domain specificity.</w:t>
      </w:r>
      <w:r>
        <w:rPr>
          <w:rFonts w:ascii="Times New Roman" w:hAnsi="Times New Roman" w:eastAsia="宋体"/>
          <w:b w:val="0"/>
          <w:sz w:val="22"/>
        </w:rPr>
        <w:t xml:space="preserve"> The findings are restricted to ISO 15189 medical-laboratory QMS documents; transferability to adjacent regulatory frameworks (e.g., ISO 17025 for testing and calibration laboratories, or ISO 9001 for general quality management) requires separate validation.</w:t>
      </w:r>
    </w:p>
    <w:p>
      <w:pPr>
        <w:spacing w:before="80" w:after="80" w:lineRule="auto" w:line="360"/>
        <w:ind w:firstLine="0"/>
        <w:jc w:val="both"/>
      </w:pPr>
      <w:r>
        <w:rPr>
          <w:rFonts w:ascii="Times New Roman" w:hAnsi="Times New Roman" w:eastAsia="宋体"/>
          <w:b/>
          <w:sz w:val="22"/>
        </w:rPr>
        <w:t>(vii) Restricted set of LLM judges.</w:t>
      </w:r>
      <w:r>
        <w:rPr>
          <w:rFonts w:ascii="Times New Roman" w:hAnsi="Times New Roman" w:eastAsia="宋体"/>
          <w:b w:val="0"/>
          <w:sz w:val="22"/>
        </w:rPr>
        <w:t xml:space="preserve"> Only Claude Opus 4.6 and GPT-5.4 served as judges; whether the observed cross-judge directional bias and expert-overestimation pattern generalise to additional model families (e.g., Gemini, open-weight models) is unknown.</w:t>
      </w:r>
    </w:p>
    <w:p>
      <w:pPr>
        <w:spacing w:before="80" w:after="80" w:lineRule="auto" w:line="360"/>
        <w:ind w:firstLine="0"/>
        <w:jc w:val="both"/>
      </w:pPr>
      <w:r>
        <w:rPr>
          <w:rFonts w:ascii="Times New Roman" w:hAnsi="Times New Roman" w:eastAsia="宋体"/>
          <w:b/>
          <w:sz w:val="22"/>
        </w:rPr>
        <w:t>(viii) Single-language scope.</w:t>
      </w:r>
      <w:r>
        <w:rPr>
          <w:rFonts w:ascii="Times New Roman" w:hAnsi="Times New Roman" w:eastAsia="宋体"/>
          <w:b w:val="0"/>
          <w:sz w:val="22"/>
        </w:rPr>
        <w:t xml:space="preserve"> All QMS documents were generated and evaluated in Chinese; the configuration effects and bias profiles in English or other languages have not been verified.</w:t>
      </w:r>
    </w:p>
    <w:p>
      <w:pPr>
        <w:spacing w:before="80" w:after="80" w:lineRule="auto" w:line="360"/>
        <w:ind w:firstLine="0"/>
        <w:jc w:val="both"/>
      </w:pPr>
      <w:r>
        <w:rPr>
          <w:rFonts w:ascii="Times New Roman" w:hAnsi="Times New Roman" w:eastAsia="宋体"/>
          <w:b/>
          <w:sz w:val="22"/>
        </w:rPr>
        <w:t>(ix) Model temporality.</w:t>
      </w:r>
      <w:r>
        <w:rPr>
          <w:rFonts w:ascii="Times New Roman" w:hAnsi="Times New Roman" w:eastAsia="宋体"/>
          <w:b w:val="0"/>
          <w:sz w:val="22"/>
        </w:rPr>
        <w:t xml:space="preserve"> The conclusions reflect the specific model versions and parameters tested between 2 April 2026 and 14 April 2026; continued LLM iteration may require periodic re-validation.</w:t>
      </w:r>
    </w:p>
    <w:p>
      <w:pPr>
        <w:spacing w:before="80" w:after="80" w:lineRule="auto" w:line="360"/>
        <w:ind w:firstLine="0"/>
        <w:jc w:val="both"/>
      </w:pPr>
      <w:r>
        <w:rPr>
          <w:rFonts w:ascii="Times New Roman" w:hAnsi="Times New Roman" w:eastAsia="宋体"/>
          <w:b/>
          <w:sz w:val="22"/>
        </w:rPr>
        <w:t>(x) Asymmetric raw-data retention for cross-judge cells.</w:t>
      </w:r>
      <w:r>
        <w:rPr>
          <w:rFonts w:ascii="Times New Roman" w:hAnsi="Times New Roman" w:eastAsia="宋体"/>
          <w:b w:val="0"/>
          <w:sz w:val="22"/>
        </w:rPr>
        <w:t xml:space="preserve"> Per-document raw scores for the Claude-judge × GPT-generated quadrant and for the Claude-judge × H-group × Claude-generated subset were archived only as aggregated means; the per-document JSON files were not retained. The full 2 × 2 self-preference matrix therefore cannot be independently recomputed at the per-document level, although per-document raw Claude-judge ratings for the six core configurations (A/B/C/E/F/G; 270 ratings) and all 486 GPT-judge per-document ratings are openly released.</w:t>
      </w:r>
    </w:p>
    <w:p>
      <w:pPr>
        <w:spacing w:before="80" w:after="80" w:lineRule="auto" w:line="360"/>
        <w:ind w:firstLine="0"/>
        <w:jc w:val="both"/>
      </w:pPr>
      <w:r>
        <w:rPr>
          <w:rFonts w:ascii="Times New Roman" w:hAnsi="Times New Roman" w:eastAsia="宋体"/>
          <w:b/>
          <w:sz w:val="22"/>
        </w:rPr>
        <w:t>(xi) Intra-judge reliability not assessed.</w:t>
      </w:r>
      <w:r>
        <w:rPr>
          <w:rFonts w:ascii="Times New Roman" w:hAnsi="Times New Roman" w:eastAsia="宋体"/>
          <w:b w:val="0"/>
          <w:sz w:val="22"/>
        </w:rPr>
        <w:t xml:space="preserve"> Each LLM judge scored each document exactly once; judges were not asked to re-score documents for the quantification of intra-judge variance. Inter-judge reliability was captured indirectly via the 2 × 2 cross-comparison between the Claude and GPT judges and via the three-expert ICC analysis.</w:t>
      </w:r>
    </w:p>
    <w:p>
      <w:pPr>
        <w:spacing w:before="80" w:after="80" w:lineRule="auto" w:line="360"/>
        <w:ind w:firstLine="0"/>
        <w:jc w:val="both"/>
      </w:pPr>
      <w:r>
        <w:rPr>
          <w:rFonts w:ascii="Times New Roman" w:hAnsi="Times New Roman" w:eastAsia="宋体"/>
          <w:b/>
          <w:sz w:val="22"/>
        </w:rPr>
        <w:t>(xii) No pre-scoring expert calibration session.</w:t>
      </w:r>
      <w:r>
        <w:rPr>
          <w:rFonts w:ascii="Times New Roman" w:hAnsi="Times New Roman" w:eastAsia="宋体"/>
          <w:b w:val="0"/>
          <w:sz w:val="22"/>
        </w:rPr>
        <w:t xml:space="preserve"> The three raters scored independently from the published rubric and the ISO 15189:2022 / CNAS-CL02:2023 standards, without a prior calibration session in which a small number of example documents would be jointly scored to align interpretation. The very high inter-rater agreement indicates that the rubric was sufficiently self-explanatory in the present institutional context, but a formal calibration step is recommended for replication in multi-centre studies.</w:t>
      </w:r>
    </w:p>
    <w:p>
      <w:pPr>
        <w:spacing w:before="80" w:after="80" w:lineRule="auto" w:line="360"/>
        <w:ind w:firstLine="0"/>
        <w:jc w:val="both"/>
      </w:pPr>
      <w:r>
        <w:rPr>
          <w:rFonts w:ascii="Times New Roman" w:hAnsi="Times New Roman" w:eastAsia="宋体"/>
          <w:b/>
          <w:sz w:val="22"/>
        </w:rPr>
        <w:t>(xiii) Claude Code Agent wrapper.</w:t>
      </w:r>
      <w:r>
        <w:rPr>
          <w:rFonts w:ascii="Times New Roman" w:hAnsi="Times New Roman" w:eastAsia="宋体"/>
          <w:b w:val="0"/>
          <w:sz w:val="22"/>
        </w:rPr>
        <w:t xml:space="preserve"> Claude Opus 4.6 generation and Claude-judge ratings were performed via the Claude Code Agent interface rather than through a direct Anthropic SDK call. The Claude Code framework appends a constant framework-level system prompt (tool definitions and file-system guidance) to each user-supplied prompt; the absolute prompt length seen by the model is therefore larger than the per-configuration token counts reported in §2.1. Because this framework overhead is identical across all 9 configurations and across all judging calls, between-configuration relative comparisons and judge–expert agreement findings are unaffected, but exact reproduction of absolute scores requires the same Claude Code version. Re-running the same configurations through a direct Anthropic SDK call may yield slightly different absolute scores.</w:t>
      </w:r>
    </w:p>
    <w:p>
      <w:pPr>
        <w:spacing w:before="80" w:after="80" w:lineRule="auto" w:line="360"/>
        <w:ind w:firstLine="0"/>
        <w:jc w:val="both"/>
      </w:pPr>
      <w:r>
        <w:rPr>
          <w:rFonts w:ascii="Times New Roman" w:hAnsi="Times New Roman" w:eastAsia="宋体"/>
          <w:b/>
          <w:sz w:val="22"/>
        </w:rPr>
        <w:t>(xiv) AIHubMix routing not independently audited.</w:t>
      </w:r>
      <w:r>
        <w:rPr>
          <w:rFonts w:ascii="Times New Roman" w:hAnsi="Times New Roman" w:eastAsia="宋体"/>
          <w:b w:val="0"/>
          <w:sz w:val="22"/>
        </w:rPr>
        <w:t xml:space="preserve"> GPT-5.4 was accessed via the AIHubMix proxy, which advertises transparent forwarding to the upstream OpenAI API. We did not independently verify response equivalence against direct OpenAI calls; subtle routing-level differences (request batching, header handling, regional routing) cannot be ruled out, although the GPT-5.4 model identifier was preserved end-to-end.</w:t>
      </w:r>
    </w:p>
    <w:p>
      <w:pPr>
        <w:spacing w:before="80" w:after="80" w:lineRule="auto" w:line="360"/>
        <w:ind w:firstLine="0"/>
        <w:jc w:val="both"/>
      </w:pPr>
      <w:r>
        <w:rPr>
          <w:rFonts w:ascii="Times New Roman" w:hAnsi="Times New Roman" w:eastAsia="宋体"/>
          <w:b/>
          <w:sz w:val="22"/>
        </w:rPr>
        <w:t>(xv) Temperature setting.</w:t>
      </w:r>
      <w:r>
        <w:rPr>
          <w:rFonts w:ascii="Times New Roman" w:hAnsi="Times New Roman" w:eastAsia="宋体"/>
          <w:b w:val="0"/>
          <w:sz w:val="22"/>
        </w:rPr>
        <w:t xml:space="preserve"> All generations used temperature = 1.0 to reflect realistic interactive use. This introduces stochastic variance (mitigated by three replicates per cell) at the cost of strict bit-level reproducibility; future studies seeking deterministic comparison should re-run at temperature = 0.</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The optimal prompt configuration for LLM-assisted ISO 15189 QMS document generation depends on the evaluation tier. At the LLM-judge tier, H4_sop_only (~2,000 tokens) achieved the highest composite score; under expert evaluation, however, the three highest-rated configurations were the template-anchored F_template (~15,000 tokens), H2_keep_examples (~25,000 tokens), and G_template_rules (~16,000 tokens) (mean = 4.06–4.24 on the 0–5 Likert scale), whereas H4_sop_only fell to fifth of seven configurations, only 0.16 points above the no-prompt baseline A_bare. Minimal-prompt configurations (H4_sop_only or E_rules_v2; ~1,000–2,000 tokens) are therefore appropriate for exploratory drafts that will undergo subsequent expert review, whereas template-anchored configurations (G_template_rules or F_template; ~15,000–16,000 tokens) are required for documents intended for CNAS or equivalent ISO 15189 accreditation submission. C_full (~56,000 tokens) should be avoided in the present setting, particularly when generation is performed by GPT-5.4, given the long-context failure modes documented in §3.3. LLM-as-judge methods may serve as a first-pass screening tool: the Claude judge showed moderate agreement with experts [ICC(3,1) = 0.548] and may be used as a cautious proxy, whereas the GPT-5.4 judge [ICC(3,1) = 0.217] was unsuitable for this purpose. Expert final review remains indispensable for any document intended for accreditation submission, formal QMS adoption, or operational deployment.</w:t>
      </w:r>
    </w:p>
    <w:p>
      <w:pPr>
        <w:spacing w:before="80" w:after="80" w:lineRule="auto" w:line="360"/>
        <w:ind w:firstLine="0"/>
        <w:jc w:val="both"/>
      </w:pPr>
      <w:r>
        <w:rPr>
          <w:rFonts w:ascii="Times New Roman" w:hAnsi="Times New Roman" w:eastAsia="宋体"/>
          <w:b w:val="0"/>
          <w:sz w:val="22"/>
        </w:rPr>
        <w:t>To our knowledge, this is the first systematic comparison of prompt-content effects on ISO 15189–compliant QMS document generation across two state-of-the-art LLMs and a three-tier evaluation framework; the findings provide an empirical foundation for prompt design guidelines in laboratory accreditation workflows.</w:t>
      </w:r>
    </w:p>
    <w:p>
      <w:pPr>
        <w:spacing w:before="280" w:after="120" w:lineRule="auto" w:line="300"/>
        <w:jc w:val="left"/>
      </w:pPr>
      <w:r>
        <w:rPr>
          <w:rFonts w:ascii="Arial" w:hAnsi="Arial" w:eastAsia="黑体"/>
          <w:b/>
          <w:sz w:val="28"/>
        </w:rPr>
        <w:t>Declarations</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 The study received no external research funding.</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 Sidi Liu was solely responsible for the conceptualisation and design of the study, the conduct of all experiments, the data analysis, the drafting and finalisation of the manuscript, and takes full responsibility for the content of the article.</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 The author declares no competing interests.</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 Written informed consent was obtained from Raters 2 and 3 prior to their participation in the blinded expert review. The consent form described the study purpose, the intended use of the ratings, the data-handling and de-identification procedures, and the right to withdraw at any time.</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 This study did not require formal ethical approval, because it did not involve patient data, biological samples, or human intervention. The QMS documents generated and evaluated used fictitious placeholder names (e.g., "Dr Li", "Dr Zhang") and contained no identifiable personal information. The inter-rater dataset was collected as methodological research from informed-consent volunteers; rater-level identifying data are stored under coded labels (Rater 1 / Rater 2 / Rater 3) in the released dataset.</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 The 486 generated documents, 864 LLM-as-judge ratings, 30 blinded expert ratings, and all analysis code are openly available on GitHub (https://github.com/stttttte/iso15189-llm-config-experiment) under a dual licence: MIT for code and CC BY 4.0 for data. A versioned snapshot has been archived on Zenodo (DOI: [to be assigned at acceptance]).</w:t>
      </w:r>
    </w:p>
    <w:p>
      <w:pPr>
        <w:spacing w:before="280" w:after="120" w:lineRule="auto" w:line="300"/>
        <w:jc w:val="left"/>
      </w:pPr>
      <w:r>
        <w:rPr>
          <w:rFonts w:ascii="Arial" w:hAnsi="Arial" w:eastAsia="黑体"/>
          <w:b/>
          <w:sz w:val="28"/>
        </w:rPr>
        <w:t>Acknowledgements</w:t>
      </w:r>
    </w:p>
    <w:p>
      <w:pPr>
        <w:spacing w:before="80" w:after="80" w:lineRule="auto" w:line="360"/>
        <w:ind w:firstLine="0"/>
        <w:jc w:val="both"/>
      </w:pPr>
      <w:r>
        <w:rPr>
          <w:rFonts w:ascii="Times New Roman" w:hAnsi="Times New Roman" w:eastAsia="宋体"/>
          <w:b w:val="0"/>
          <w:sz w:val="22"/>
        </w:rPr>
        <w:t>The author thanks the two colleagues who participated in the blinded expert review (Raters 2 and 3) for providing an independent expert perspective with full informed consent.</w:t>
      </w:r>
    </w:p>
    <w:p>
      <w:pPr>
        <w:spacing w:before="280" w:after="120" w:lineRule="auto" w:line="300"/>
        <w:jc w:val="left"/>
      </w:pPr>
      <w:r>
        <w:rPr>
          <w:rFonts w:ascii="Arial" w:hAnsi="Arial" w:eastAsia="黑体"/>
          <w:b/>
          <w:sz w:val="28"/>
        </w:rPr>
        <w:t>Figure Legends</w:t>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The nine prompt configurations evaluated in the study. Left panel: inclusion of each configuration across the four prompt-content dimensions (rules, document skeleton, detailed content, worked examples); ✓ = full inclusion, ◐ = partial inclusion, — = absent. Right panel: total system-prompt size of each configuration, expressed in thousands of tokens (cl100k_base tokenizer).</w:t>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Heatmap of the 2 × 2 cross-model symmetric design. Cells show the mean compliance score (0–5 Likert scale) across the three representative tasks (A1, B1, C1) for each of the nine configurations (rows) crossed with the four generator–judge combinations (columns). C_full exhibits a marked drop in the two GPT-generated columns (1.40 and 1.84, indicated by black-bordered cells), in sharp contrast with the two Claude-generated columns (Claude-judge × Claude-generated = 4.56; GPT-judge × Claude-generated = 3.22).</w:t>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Systematic overestimation of compliance scores by the LLM judges relative to the three-rater expert panel (n = 10 documents × 3 raters). Horizontal axis: mean rating of the three experts. Vertical axis: LLM-judge rating. Left: Claude Opus 4.6 as judge [ICC(3,1) = 0.548; Pearson r = 0.573; mean difference (expert − Claude) = −0.905]. Right: GPT-5.4 as judge [ICC(3,1) = 0.217; Pearson r = 0.259; mean difference (expert − GPT) = −0.525]. Dashed line: 1:1 perfect agreement. Markers are colour-coded by configuration (legend inset).</w:t>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Compliance score (0–5 Likert) versus system-prompt token size, computed on the n = 10 expert-blinded subset (seven configurations; per-stratum n = 1 or 2). Horizontal axis: token count on a symmetric-logarithmic scale (cl100k_base tokenizer). All three curves are based on the same matched samples: solid green line with squares, three-rater expert mean; solid red line with circles, Claude Opus 4.6 judge applied to Claude-generated outputs; solid blue line with triangles, GPT-5.4 judge applied to Claude-generated outputs. Orange-shaded band: the token-efficient optimum identified by the LLM-judge tier (H4_sop_only / H3_skeleton). Green-shaded band: the clinical-usability optimum identified by expert evaluation (F_template / G_template_rules). Error bars are omitted because per-stratum n = 1 or 2; the corresponding LLM-versus-expert calibration scatter is shown in Figure 3.</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sz w:val="22"/>
        </w:rPr>
        <w:t>14.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val="0"/>
          <w:sz w:val="22"/>
        </w:rPr>
        <w:t>15. Cicchetti DV. Guidelines, criteria, and rules of thumb for evaluating normed and standardized assessment instruments in psychology. Psychol Assess 1994;6:284–90.</w:t>
      </w:r>
    </w:p>
    <w:p>
      <w:pPr>
        <w:spacing w:before="80" w:after="80" w:lineRule="auto" w:line="360"/>
        <w:ind w:firstLine="0"/>
        <w:jc w:val="both"/>
      </w:pPr>
      <w:r>
        <w:rPr>
          <w:rFonts w:ascii="Times New Roman" w:hAnsi="Times New Roman" w:eastAsia="宋体"/>
          <w:b/>
          <w:sz w:val="22"/>
        </w:rPr>
        <w:t>Word count (main text including references)</w:t>
      </w:r>
      <w:r>
        <w:rPr>
          <w:rFonts w:ascii="Times New Roman" w:hAnsi="Times New Roman" w:eastAsia="宋体"/>
          <w:b w:val="0"/>
          <w:sz w:val="22"/>
        </w:rPr>
        <w:t>: ~5400 words</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 1 (Table 6 — configuration recommendations stratified by scenario)</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 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 14</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