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Four-component substitution-contrast ablation (Benjamini–Hochberg FDR-adjusted; bootstrap 95% CI, B = 10,000) showed that, at the LLM-judge tier, only the rules component reached significance (Δ = +0.511, 95% CI [+0.28, +0.75]; BH-adjusted p &lt; 0.001); the skeleton component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Both LLM judges rated Claude-generated outputs approximately 0.30 points higher than GPT-generated outputs (Panickssery classical bias estimates: Claude-judge +0.29, GPT-judge −0.30), a pattern incompatible with classical same-family self-preference and consistent with either a genuine quality difference between the two generation models or shared judge stylistic preferences.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(~2,000 tokens), fell to fifth of seven configurations under expert evaluation (3.20, n = 2; only 0.16 points above the no-prompt baseline A_bare), whereas template-based configurations F_template (~15,000 tokens), H2_keep_examples (~25,000 tokens), and G_template_rules (~16,000 tokens)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may adopt H4_sop_only (~2,000 tokens) or E_rules_v2 (~1,200 tokens) for non-final, exploratory drafts subject to expert review before any clinical-deployment use; scenarios involving formal submission and CNAS accreditation application should adopt G_template_rules (~16,000 tokens) or F_template (~15,000 tokens). C_full (~56,000 tokens)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Four-component ablation at the LLM-judge tier yields a parsimonious conclusion: the rules component is necessary (BH-adjusted p &lt; 0.001), the skeleton component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a cross-LLM directional pattern in which both judges rated Claude-generated outputs approximately 0.30 points higher than GPT-generated outputs (Panickssery classical estimates: Claude judge +0.29, GPT judge −0.30) — a pattern that is incompatible with classical same-family self-preference (§3.4) and is therefore attributable either to a real generation-quality gap or to shared judge stylistic preferences —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all Claude-generated: n = 3 raters × 10 documents, with only 1 to 2 documents per configuration; the entire 10-document sample was drawn from the Claude-generation set, and no GPT-generated documents underwent expert review. This design supports only directional ranking conclusions for Claude generation, not strict statistical inference, and means that the §3.4 ambiguity between (a) a genuine generation-quality gap between Claude Opus 4.6 and GPT-5.4 and (b) shared judge stylistic preferences cannot be resolved within the present sample. Multi-center validation with 3–5 experts × 30–50 documents across institutions, including matched GPT-generated samples,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(~2,000 tokens) achieves the highest composite score; under expert evaluation, F_template (~15,000 tokens), H2_keep_examples (~25,000 tokens), and G_template_rules (~16,000 tokens) tie at the top (mean 4.06–4.24), whereas H4 falls to fifth of seven configurations (only 0.16 points above the no-prompt baseline). Scenarios prioritizing token efficiency and cost control may adopt H4 or E_rules_v2 (1–2 K) for exploratory drafts subject to subsequent expert review; scenarios requiring formal submission and CNAS accreditation application should adopt G or F (15–16 K); C_full (~56,000 tokens)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